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B9DB" w14:textId="77777777" w:rsidR="00C80E4D" w:rsidRPr="00C47ED5" w:rsidRDefault="00C80E4D" w:rsidP="00C47ED5">
      <w:pPr>
        <w:pStyle w:val="CoverTitleMain"/>
      </w:pPr>
      <w:bookmarkStart w:id="0" w:name="_GoBack"/>
      <w:bookmarkEnd w:id="0"/>
      <w:r>
        <w:br/>
      </w:r>
      <w:r>
        <w:br/>
      </w:r>
      <w:r>
        <w:br/>
      </w:r>
      <w:r>
        <w:br/>
      </w:r>
      <w:r w:rsidRPr="00C47ED5">
        <w:t>Implementation of the Australian Consumer Law</w:t>
      </w:r>
    </w:p>
    <w:p w14:paraId="2B54B9DC" w14:textId="6C650E88" w:rsidR="00C80E4D" w:rsidRDefault="00C80E4D" w:rsidP="00C47ED5">
      <w:pPr>
        <w:pStyle w:val="CoverTitleSub"/>
      </w:pPr>
      <w:r w:rsidRPr="003C0595">
        <w:t>Report on progress II</w:t>
      </w:r>
      <w:r>
        <w:t>I (2012</w:t>
      </w:r>
      <w:r w:rsidR="00455542">
        <w:noBreakHyphen/>
      </w:r>
      <w:r>
        <w:t>13)</w:t>
      </w:r>
    </w:p>
    <w:p w14:paraId="2B54B9DE" w14:textId="77777777" w:rsidR="00C80E4D" w:rsidRPr="003C0595" w:rsidRDefault="00C80E4D" w:rsidP="00CF34FE">
      <w:pPr>
        <w:pStyle w:val="CoverTitleSub"/>
      </w:pPr>
    </w:p>
    <w:p w14:paraId="2B54B9DF" w14:textId="1AF6A065" w:rsidR="00C80E4D" w:rsidRDefault="0077132D" w:rsidP="00C47ED5">
      <w:pPr>
        <w:pStyle w:val="CoverTitleSub"/>
      </w:pPr>
      <w:r>
        <w:t>November</w:t>
      </w:r>
      <w:r w:rsidR="00C80E4D" w:rsidRPr="003C0595">
        <w:t xml:space="preserve"> 201</w:t>
      </w:r>
      <w:r w:rsidR="00C80E4D">
        <w:t>3</w:t>
      </w:r>
    </w:p>
    <w:p w14:paraId="2B54B9E0" w14:textId="77777777" w:rsidR="00D16092" w:rsidRPr="008F23CA" w:rsidRDefault="00D16092"/>
    <w:p w14:paraId="2B54B9E1" w14:textId="77777777" w:rsidR="00D16092" w:rsidRPr="00E42617" w:rsidRDefault="00D16092" w:rsidP="00D13B49"/>
    <w:p w14:paraId="2ACC7C2B" w14:textId="77777777" w:rsidR="00CF34FE" w:rsidRDefault="00CF34FE" w:rsidP="00D13B49">
      <w:pPr>
        <w:sectPr w:rsidR="00CF34FE" w:rsidSect="007D08F3">
          <w:headerReference w:type="default" r:id="rId13"/>
          <w:footerReference w:type="even" r:id="rId14"/>
          <w:footerReference w:type="default" r:id="rId15"/>
          <w:pgSz w:w="11906" w:h="16838" w:code="9"/>
          <w:pgMar w:top="1418" w:right="1418" w:bottom="1418" w:left="1418" w:header="709" w:footer="709" w:gutter="0"/>
          <w:cols w:space="708"/>
          <w:titlePg/>
          <w:docGrid w:linePitch="360"/>
        </w:sectPr>
      </w:pPr>
    </w:p>
    <w:p w14:paraId="2B54B9E3" w14:textId="3F2A4EF5" w:rsidR="00C80E4D" w:rsidRDefault="00C80E4D" w:rsidP="00C80E4D">
      <w:r w:rsidRPr="00661BF0">
        <w:lastRenderedPageBreak/>
        <w:t xml:space="preserve">© Commonwealth of </w:t>
      </w:r>
      <w:r w:rsidRPr="00D87BD3">
        <w:t xml:space="preserve">Australia </w:t>
      </w:r>
      <w:r w:rsidRPr="008567B4">
        <w:t>201</w:t>
      </w:r>
      <w:r>
        <w:t>3</w:t>
      </w:r>
    </w:p>
    <w:p w14:paraId="2B54B9E4" w14:textId="5373AD41" w:rsidR="00C80E4D" w:rsidRPr="00040E57" w:rsidRDefault="00C80E4D" w:rsidP="00C80E4D">
      <w:r w:rsidRPr="00464A16">
        <w:t xml:space="preserve">ISBN </w:t>
      </w:r>
      <w:r w:rsidR="00B601A0" w:rsidRPr="00B601A0">
        <w:t>978-0-642-74943-7</w:t>
      </w:r>
    </w:p>
    <w:p w14:paraId="37478753" w14:textId="4A748AD7" w:rsidR="00B601A0" w:rsidRDefault="00B601A0" w:rsidP="00B601A0">
      <w:r>
        <w:t xml:space="preserve">This </w:t>
      </w:r>
      <w:r w:rsidRPr="00B601A0">
        <w:t xml:space="preserve">publication is available for your use under a </w:t>
      </w:r>
      <w:hyperlink r:id="rId16" w:history="1">
        <w:r w:rsidRPr="00B601A0">
          <w:rPr>
            <w:rStyle w:val="Hyperlink"/>
          </w:rPr>
          <w:t>Creative Commons BY Attribution 3.0 Australia</w:t>
        </w:r>
      </w:hyperlink>
      <w:r w:rsidRPr="00B601A0">
        <w:t xml:space="preserve"> licence, with the exception of the Commonwealth Coat of Arms, the </w:t>
      </w:r>
      <w:r>
        <w:t xml:space="preserve">Australian Consumer Law logo, photographs, images, signatures and where otherwise stated. The full licence terms are available from </w:t>
      </w:r>
      <w:hyperlink r:id="rId17" w:history="1">
        <w:r w:rsidRPr="000863E4">
          <w:rPr>
            <w:rStyle w:val="Hyperlink"/>
          </w:rPr>
          <w:t>http://creativecommons.org/licenses/by/3.0/au/legalcode</w:t>
        </w:r>
      </w:hyperlink>
      <w:r>
        <w:t>.</w:t>
      </w:r>
    </w:p>
    <w:p w14:paraId="4E1F4628" w14:textId="7B2BE152" w:rsidR="00B601A0" w:rsidRDefault="00B601A0" w:rsidP="00B601A0">
      <w:pPr>
        <w:spacing w:line="240" w:lineRule="auto"/>
      </w:pPr>
      <w:r w:rsidRPr="00E56DFB">
        <w:rPr>
          <w:noProof/>
        </w:rPr>
        <w:drawing>
          <wp:inline distT="0" distB="0" distL="0" distR="0" wp14:anchorId="2687F5A6" wp14:editId="48E7AEDB">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0D33F8E" w14:textId="640947EB" w:rsidR="00B601A0" w:rsidRDefault="00B601A0" w:rsidP="00B601A0">
      <w:r>
        <w:t xml:space="preserve">Use of Australian Consumer Law material under a </w:t>
      </w:r>
      <w:hyperlink r:id="rId19" w:history="1">
        <w:r w:rsidRPr="00B601A0">
          <w:rPr>
            <w:rStyle w:val="Hyperlink"/>
          </w:rPr>
          <w:t>Creative Commons BY Attribution 3.0 Australia</w:t>
        </w:r>
      </w:hyperlink>
      <w:r>
        <w:t xml:space="preserve"> licence requires you to attribute the work (but not in any way that suggests that the Australian Consumer Law endorses you or your use of the work). </w:t>
      </w:r>
    </w:p>
    <w:p w14:paraId="6339E7F3" w14:textId="7CC4A9C7" w:rsidR="00B601A0" w:rsidRPr="00B601A0" w:rsidRDefault="00B601A0" w:rsidP="00B601A0">
      <w:pPr>
        <w:rPr>
          <w:i/>
        </w:rPr>
      </w:pPr>
      <w:r w:rsidRPr="00B601A0">
        <w:rPr>
          <w:i/>
        </w:rPr>
        <w:t>Australian Consumer Law material used 'as supplied'</w:t>
      </w:r>
    </w:p>
    <w:p w14:paraId="3F844C6A" w14:textId="023DCD38" w:rsidR="00B601A0" w:rsidRDefault="00B601A0" w:rsidP="00B601A0">
      <w:r>
        <w:t xml:space="preserve">Provided you have not modified or transformed Australian Consumer Law material in any way including, for example, by changing the Australian Consumer Law text; calculating percentage changes; graphing or charting data; or deriving new statistics from published Australian Consumer Law statistics – then the Australian Consumer Law prefers the following attribution: </w:t>
      </w:r>
    </w:p>
    <w:p w14:paraId="51745101" w14:textId="3657E085" w:rsidR="00B601A0" w:rsidRDefault="00B601A0" w:rsidP="00B601A0">
      <w:pPr>
        <w:pStyle w:val="NormalIndent"/>
      </w:pPr>
      <w:r>
        <w:t>Source: The Australian Consumer Law</w:t>
      </w:r>
    </w:p>
    <w:p w14:paraId="76546CAD" w14:textId="77777777" w:rsidR="00B601A0" w:rsidRPr="00B601A0" w:rsidRDefault="00B601A0" w:rsidP="00B601A0">
      <w:pPr>
        <w:rPr>
          <w:i/>
        </w:rPr>
      </w:pPr>
      <w:r w:rsidRPr="00B601A0">
        <w:rPr>
          <w:i/>
        </w:rPr>
        <w:t>Derivative material</w:t>
      </w:r>
    </w:p>
    <w:p w14:paraId="1FDA1678" w14:textId="6480C490" w:rsidR="00B601A0" w:rsidRDefault="00B601A0" w:rsidP="00B601A0">
      <w:r>
        <w:t xml:space="preserve">If you have modified or transformed Australian Consumer Law material, or derived new material from those of the Australian Consumer Law in any way, then the Australian Consumer Law prefers the following attribution: </w:t>
      </w:r>
    </w:p>
    <w:p w14:paraId="0C9CC98C" w14:textId="49BEF7F1" w:rsidR="00B601A0" w:rsidRDefault="00B601A0" w:rsidP="00B601A0">
      <w:pPr>
        <w:pStyle w:val="NormalIndent"/>
      </w:pPr>
      <w:r>
        <w:t>Based on The Australian Consumer Law data</w:t>
      </w:r>
    </w:p>
    <w:p w14:paraId="75ECAC10" w14:textId="77777777" w:rsidR="00B601A0" w:rsidRPr="00B601A0" w:rsidRDefault="00B601A0" w:rsidP="00B601A0">
      <w:pPr>
        <w:rPr>
          <w:b/>
        </w:rPr>
      </w:pPr>
      <w:r w:rsidRPr="00B601A0">
        <w:rPr>
          <w:b/>
        </w:rPr>
        <w:t>Use of the Coat of Arms</w:t>
      </w:r>
    </w:p>
    <w:p w14:paraId="1391E876" w14:textId="0DE47E7C" w:rsidR="00B601A0" w:rsidRDefault="00B601A0" w:rsidP="00B601A0">
      <w:r>
        <w:t xml:space="preserve">The terms under which the Coat of Arms can be used are set out on the It’s an Honour website (see </w:t>
      </w:r>
      <w:hyperlink r:id="rId20" w:history="1">
        <w:r w:rsidRPr="00B601A0">
          <w:rPr>
            <w:rStyle w:val="Hyperlink"/>
          </w:rPr>
          <w:t>www.itsanhonour.gov.au</w:t>
        </w:r>
      </w:hyperlink>
      <w:r>
        <w:t>)</w:t>
      </w:r>
    </w:p>
    <w:p w14:paraId="5F8FBA14" w14:textId="77777777" w:rsidR="00B601A0" w:rsidRPr="00B601A0" w:rsidRDefault="00B601A0" w:rsidP="00B601A0">
      <w:pPr>
        <w:rPr>
          <w:b/>
        </w:rPr>
      </w:pPr>
      <w:r w:rsidRPr="00B601A0">
        <w:rPr>
          <w:b/>
        </w:rPr>
        <w:t>Other Uses</w:t>
      </w:r>
    </w:p>
    <w:p w14:paraId="27E2687C" w14:textId="77777777" w:rsidR="00B601A0" w:rsidRDefault="00B601A0" w:rsidP="00B601A0">
      <w:r>
        <w:t>Inquiries regarding this licence and any other use of this document are welcome at:</w:t>
      </w:r>
    </w:p>
    <w:p w14:paraId="33CF2102" w14:textId="77777777" w:rsidR="00B601A0" w:rsidRDefault="00B601A0" w:rsidP="00B601A0">
      <w:pPr>
        <w:pStyle w:val="NormalIndent"/>
        <w:spacing w:after="0"/>
      </w:pPr>
      <w:r>
        <w:t>Manager</w:t>
      </w:r>
    </w:p>
    <w:p w14:paraId="2C3219E7" w14:textId="77777777" w:rsidR="00B601A0" w:rsidRDefault="00B601A0" w:rsidP="00B601A0">
      <w:pPr>
        <w:pStyle w:val="NormalIndent"/>
        <w:spacing w:after="0"/>
      </w:pPr>
      <w:r>
        <w:t xml:space="preserve">Communications </w:t>
      </w:r>
    </w:p>
    <w:p w14:paraId="19187409" w14:textId="77777777" w:rsidR="00B601A0" w:rsidRDefault="00B601A0" w:rsidP="00B601A0">
      <w:pPr>
        <w:pStyle w:val="NormalIndent"/>
        <w:spacing w:after="0"/>
      </w:pPr>
      <w:r>
        <w:t>The Treasury</w:t>
      </w:r>
    </w:p>
    <w:p w14:paraId="5A282AD3" w14:textId="77777777" w:rsidR="00B601A0" w:rsidRDefault="00B601A0" w:rsidP="00B601A0">
      <w:pPr>
        <w:pStyle w:val="NormalIndent"/>
        <w:spacing w:after="0"/>
      </w:pPr>
      <w:r>
        <w:t xml:space="preserve">Langton Crescent </w:t>
      </w:r>
      <w:proofErr w:type="spellStart"/>
      <w:r>
        <w:t>Parkes</w:t>
      </w:r>
      <w:proofErr w:type="spellEnd"/>
      <w:r>
        <w:t xml:space="preserve"> ACT 2600</w:t>
      </w:r>
    </w:p>
    <w:p w14:paraId="2B54B9F0" w14:textId="51FFCB46" w:rsidR="00C80E4D" w:rsidRPr="002F1BC2" w:rsidRDefault="00B601A0" w:rsidP="00B601A0">
      <w:pPr>
        <w:pStyle w:val="NormalIndent"/>
        <w:spacing w:after="0"/>
        <w:rPr>
          <w:rStyle w:val="Hyperlink"/>
        </w:rPr>
      </w:pPr>
      <w:r>
        <w:t>Email: medialiaison@treasury.gov.au</w:t>
      </w:r>
      <w:r w:rsidR="00C80E4D" w:rsidRPr="002F1BC2">
        <w:rPr>
          <w:rStyle w:val="Hyperlink"/>
        </w:rPr>
        <w:t xml:space="preserve"> </w:t>
      </w:r>
    </w:p>
    <w:p w14:paraId="058FC5FE" w14:textId="77777777" w:rsidR="00CF34FE" w:rsidRDefault="00CF34FE">
      <w:pPr>
        <w:pStyle w:val="TOCHeading"/>
        <w:sectPr w:rsidR="00CF34FE" w:rsidSect="007D08F3">
          <w:headerReference w:type="first" r:id="rId21"/>
          <w:footerReference w:type="first" r:id="rId22"/>
          <w:pgSz w:w="11906" w:h="16838" w:code="9"/>
          <w:pgMar w:top="1418" w:right="1418" w:bottom="1418" w:left="1418" w:header="709" w:footer="709" w:gutter="0"/>
          <w:cols w:space="708"/>
          <w:titlePg/>
          <w:docGrid w:linePitch="360"/>
        </w:sectPr>
      </w:pPr>
    </w:p>
    <w:sdt>
      <w:sdtPr>
        <w:rPr>
          <w:rFonts w:ascii="Book Antiqua" w:eastAsia="Times New Roman" w:hAnsi="Book Antiqua" w:cs="Times New Roman"/>
          <w:b w:val="0"/>
          <w:bCs w:val="0"/>
          <w:color w:val="000000"/>
          <w:sz w:val="22"/>
          <w:szCs w:val="20"/>
          <w:lang w:val="en-AU" w:eastAsia="en-AU"/>
        </w:rPr>
        <w:id w:val="-177972300"/>
        <w:docPartObj>
          <w:docPartGallery w:val="Table of Contents"/>
          <w:docPartUnique/>
        </w:docPartObj>
      </w:sdtPr>
      <w:sdtEndPr>
        <w:rPr>
          <w:noProof/>
        </w:rPr>
      </w:sdtEndPr>
      <w:sdtContent>
        <w:p w14:paraId="2B54B9F2" w14:textId="77777777" w:rsidR="00041103" w:rsidRPr="009C6840" w:rsidRDefault="00041103">
          <w:pPr>
            <w:pStyle w:val="TOCHeading"/>
            <w:rPr>
              <w:rFonts w:ascii="Arial" w:eastAsia="Times New Roman" w:hAnsi="Arial" w:cs="Arial"/>
              <w:smallCaps/>
              <w:color w:val="00673A"/>
              <w:kern w:val="32"/>
              <w:sz w:val="36"/>
              <w:szCs w:val="36"/>
              <w:lang w:val="en-AU" w:eastAsia="en-AU"/>
            </w:rPr>
          </w:pPr>
          <w:r w:rsidRPr="009C6840">
            <w:rPr>
              <w:rFonts w:ascii="Arial" w:eastAsia="Times New Roman" w:hAnsi="Arial" w:cs="Arial"/>
              <w:smallCaps/>
              <w:color w:val="00673A"/>
              <w:kern w:val="32"/>
              <w:sz w:val="36"/>
              <w:szCs w:val="36"/>
              <w:lang w:val="en-AU" w:eastAsia="en-AU"/>
            </w:rPr>
            <w:t>Contents</w:t>
          </w:r>
        </w:p>
        <w:p w14:paraId="2B54B9F3" w14:textId="77777777" w:rsidR="007611BE" w:rsidRDefault="00041103" w:rsidP="00CF34FE">
          <w:pPr>
            <w:pStyle w:val="TOC1"/>
            <w:rPr>
              <w:rFonts w:asciiTheme="minorHAnsi" w:eastAsiaTheme="minorEastAsia" w:hAnsiTheme="minorHAnsi" w:cstheme="minorBidi"/>
              <w:b w:val="0"/>
              <w:smallCaps w:val="0"/>
              <w:noProof/>
              <w:color w:val="auto"/>
            </w:rPr>
          </w:pPr>
          <w:r>
            <w:fldChar w:fldCharType="begin"/>
          </w:r>
          <w:r w:rsidRPr="00CF34FE">
            <w:instrText xml:space="preserve"> TOC \o "1-3" \h \z \u </w:instrText>
          </w:r>
          <w:r>
            <w:fldChar w:fldCharType="separate"/>
          </w:r>
          <w:hyperlink w:anchor="_Toc370468040" w:history="1">
            <w:r w:rsidR="007611BE" w:rsidRPr="00CF34FE">
              <w:rPr>
                <w:rStyle w:val="Hyperlink"/>
                <w:noProof/>
                <w:color w:val="00673A"/>
              </w:rPr>
              <w:t>Letter</w:t>
            </w:r>
            <w:r w:rsidR="007611BE" w:rsidRPr="00D34AC4">
              <w:rPr>
                <w:rStyle w:val="Hyperlink"/>
                <w:noProof/>
              </w:rPr>
              <w:t xml:space="preserve"> to the Chair of CAF,  The Hon Jarrod Bleijie MP</w:t>
            </w:r>
            <w:r w:rsidR="007611BE">
              <w:rPr>
                <w:noProof/>
                <w:webHidden/>
              </w:rPr>
              <w:tab/>
            </w:r>
            <w:r w:rsidR="007611BE">
              <w:rPr>
                <w:noProof/>
                <w:webHidden/>
              </w:rPr>
              <w:fldChar w:fldCharType="begin"/>
            </w:r>
            <w:r w:rsidR="007611BE">
              <w:rPr>
                <w:noProof/>
                <w:webHidden/>
              </w:rPr>
              <w:instrText xml:space="preserve"> PAGEREF _Toc370468040 \h </w:instrText>
            </w:r>
            <w:r w:rsidR="007611BE">
              <w:rPr>
                <w:noProof/>
                <w:webHidden/>
              </w:rPr>
            </w:r>
            <w:r w:rsidR="007611BE">
              <w:rPr>
                <w:noProof/>
                <w:webHidden/>
              </w:rPr>
              <w:fldChar w:fldCharType="separate"/>
            </w:r>
            <w:r w:rsidR="008100A0">
              <w:rPr>
                <w:noProof/>
                <w:webHidden/>
              </w:rPr>
              <w:t>iv</w:t>
            </w:r>
            <w:r w:rsidR="007611BE">
              <w:rPr>
                <w:noProof/>
                <w:webHidden/>
              </w:rPr>
              <w:fldChar w:fldCharType="end"/>
            </w:r>
          </w:hyperlink>
        </w:p>
        <w:p w14:paraId="2B54B9F4" w14:textId="77777777" w:rsidR="007611BE" w:rsidRDefault="00A53D56">
          <w:pPr>
            <w:pStyle w:val="TOC1"/>
            <w:rPr>
              <w:rFonts w:asciiTheme="minorHAnsi" w:eastAsiaTheme="minorEastAsia" w:hAnsiTheme="minorHAnsi" w:cstheme="minorBidi"/>
              <w:b w:val="0"/>
              <w:smallCaps w:val="0"/>
              <w:noProof/>
              <w:color w:val="auto"/>
            </w:rPr>
          </w:pPr>
          <w:hyperlink w:anchor="_Toc370468041" w:history="1">
            <w:r w:rsidR="007611BE" w:rsidRPr="00D34AC4">
              <w:rPr>
                <w:rStyle w:val="Hyperlink"/>
                <w:noProof/>
              </w:rPr>
              <w:t>Glossary of terms</w:t>
            </w:r>
            <w:r w:rsidR="007611BE">
              <w:rPr>
                <w:noProof/>
                <w:webHidden/>
              </w:rPr>
              <w:tab/>
            </w:r>
            <w:r w:rsidR="007611BE">
              <w:rPr>
                <w:noProof/>
                <w:webHidden/>
              </w:rPr>
              <w:fldChar w:fldCharType="begin"/>
            </w:r>
            <w:r w:rsidR="007611BE">
              <w:rPr>
                <w:noProof/>
                <w:webHidden/>
              </w:rPr>
              <w:instrText xml:space="preserve"> PAGEREF _Toc370468041 \h </w:instrText>
            </w:r>
            <w:r w:rsidR="007611BE">
              <w:rPr>
                <w:noProof/>
                <w:webHidden/>
              </w:rPr>
            </w:r>
            <w:r w:rsidR="007611BE">
              <w:rPr>
                <w:noProof/>
                <w:webHidden/>
              </w:rPr>
              <w:fldChar w:fldCharType="separate"/>
            </w:r>
            <w:r w:rsidR="008100A0">
              <w:rPr>
                <w:noProof/>
                <w:webHidden/>
              </w:rPr>
              <w:t>vi</w:t>
            </w:r>
            <w:r w:rsidR="007611BE">
              <w:rPr>
                <w:noProof/>
                <w:webHidden/>
              </w:rPr>
              <w:fldChar w:fldCharType="end"/>
            </w:r>
          </w:hyperlink>
        </w:p>
        <w:p w14:paraId="2B54B9F5" w14:textId="77777777" w:rsidR="007611BE" w:rsidRDefault="00A53D56">
          <w:pPr>
            <w:pStyle w:val="TOC1"/>
            <w:rPr>
              <w:rFonts w:asciiTheme="minorHAnsi" w:eastAsiaTheme="minorEastAsia" w:hAnsiTheme="minorHAnsi" w:cstheme="minorBidi"/>
              <w:b w:val="0"/>
              <w:smallCaps w:val="0"/>
              <w:noProof/>
              <w:color w:val="auto"/>
            </w:rPr>
          </w:pPr>
          <w:hyperlink w:anchor="_Toc370468042" w:history="1">
            <w:r w:rsidR="007611BE" w:rsidRPr="00D34AC4">
              <w:rPr>
                <w:rStyle w:val="Hyperlink"/>
                <w:noProof/>
              </w:rPr>
              <w:t>Executive summary</w:t>
            </w:r>
            <w:r w:rsidR="007611BE">
              <w:rPr>
                <w:noProof/>
                <w:webHidden/>
              </w:rPr>
              <w:tab/>
            </w:r>
            <w:r w:rsidR="007611BE">
              <w:rPr>
                <w:noProof/>
                <w:webHidden/>
              </w:rPr>
              <w:fldChar w:fldCharType="begin"/>
            </w:r>
            <w:r w:rsidR="007611BE">
              <w:rPr>
                <w:noProof/>
                <w:webHidden/>
              </w:rPr>
              <w:instrText xml:space="preserve"> PAGEREF _Toc370468042 \h </w:instrText>
            </w:r>
            <w:r w:rsidR="007611BE">
              <w:rPr>
                <w:noProof/>
                <w:webHidden/>
              </w:rPr>
            </w:r>
            <w:r w:rsidR="007611BE">
              <w:rPr>
                <w:noProof/>
                <w:webHidden/>
              </w:rPr>
              <w:fldChar w:fldCharType="separate"/>
            </w:r>
            <w:r w:rsidR="008100A0">
              <w:rPr>
                <w:noProof/>
                <w:webHidden/>
              </w:rPr>
              <w:t>vii</w:t>
            </w:r>
            <w:r w:rsidR="007611BE">
              <w:rPr>
                <w:noProof/>
                <w:webHidden/>
              </w:rPr>
              <w:fldChar w:fldCharType="end"/>
            </w:r>
          </w:hyperlink>
        </w:p>
        <w:p w14:paraId="2B54B9F6" w14:textId="77777777" w:rsidR="007611BE" w:rsidRDefault="00A53D56">
          <w:pPr>
            <w:pStyle w:val="TOC1"/>
            <w:rPr>
              <w:rFonts w:asciiTheme="minorHAnsi" w:eastAsiaTheme="minorEastAsia" w:hAnsiTheme="minorHAnsi" w:cstheme="minorBidi"/>
              <w:b w:val="0"/>
              <w:smallCaps w:val="0"/>
              <w:noProof/>
              <w:color w:val="auto"/>
            </w:rPr>
          </w:pPr>
          <w:hyperlink w:anchor="_Toc370468048" w:history="1">
            <w:r w:rsidR="007611BE" w:rsidRPr="00D34AC4">
              <w:rPr>
                <w:rStyle w:val="Hyperlink"/>
                <w:noProof/>
              </w:rPr>
              <w:t>Introduction</w:t>
            </w:r>
            <w:r w:rsidR="007611BE">
              <w:rPr>
                <w:noProof/>
                <w:webHidden/>
              </w:rPr>
              <w:tab/>
            </w:r>
            <w:r w:rsidR="007611BE">
              <w:rPr>
                <w:noProof/>
                <w:webHidden/>
              </w:rPr>
              <w:fldChar w:fldCharType="begin"/>
            </w:r>
            <w:r w:rsidR="007611BE">
              <w:rPr>
                <w:noProof/>
                <w:webHidden/>
              </w:rPr>
              <w:instrText xml:space="preserve"> PAGEREF _Toc370468048 \h </w:instrText>
            </w:r>
            <w:r w:rsidR="007611BE">
              <w:rPr>
                <w:noProof/>
                <w:webHidden/>
              </w:rPr>
            </w:r>
            <w:r w:rsidR="007611BE">
              <w:rPr>
                <w:noProof/>
                <w:webHidden/>
              </w:rPr>
              <w:fldChar w:fldCharType="separate"/>
            </w:r>
            <w:r w:rsidR="008100A0">
              <w:rPr>
                <w:noProof/>
                <w:webHidden/>
              </w:rPr>
              <w:t>1</w:t>
            </w:r>
            <w:r w:rsidR="007611BE">
              <w:rPr>
                <w:noProof/>
                <w:webHidden/>
              </w:rPr>
              <w:fldChar w:fldCharType="end"/>
            </w:r>
          </w:hyperlink>
        </w:p>
        <w:p w14:paraId="2B54B9F7" w14:textId="77777777" w:rsidR="007611BE" w:rsidRDefault="00A53D56">
          <w:pPr>
            <w:pStyle w:val="TOC2"/>
            <w:rPr>
              <w:rFonts w:asciiTheme="minorHAnsi" w:eastAsiaTheme="minorEastAsia" w:hAnsiTheme="minorHAnsi" w:cstheme="minorBidi"/>
              <w:noProof/>
              <w:color w:val="auto"/>
              <w:sz w:val="22"/>
              <w:szCs w:val="22"/>
            </w:rPr>
          </w:pPr>
          <w:hyperlink w:anchor="_Toc370468049" w:history="1">
            <w:r w:rsidR="007611BE" w:rsidRPr="00D34AC4">
              <w:rPr>
                <w:rStyle w:val="Hyperlink"/>
                <w:noProof/>
              </w:rPr>
              <w:t>The Australian Consumer Law</w:t>
            </w:r>
            <w:r w:rsidR="007611BE">
              <w:rPr>
                <w:noProof/>
                <w:webHidden/>
              </w:rPr>
              <w:tab/>
            </w:r>
            <w:r w:rsidR="007611BE">
              <w:rPr>
                <w:noProof/>
                <w:webHidden/>
              </w:rPr>
              <w:fldChar w:fldCharType="begin"/>
            </w:r>
            <w:r w:rsidR="007611BE">
              <w:rPr>
                <w:noProof/>
                <w:webHidden/>
              </w:rPr>
              <w:instrText xml:space="preserve"> PAGEREF _Toc370468049 \h </w:instrText>
            </w:r>
            <w:r w:rsidR="007611BE">
              <w:rPr>
                <w:noProof/>
                <w:webHidden/>
              </w:rPr>
            </w:r>
            <w:r w:rsidR="007611BE">
              <w:rPr>
                <w:noProof/>
                <w:webHidden/>
              </w:rPr>
              <w:fldChar w:fldCharType="separate"/>
            </w:r>
            <w:r w:rsidR="008100A0">
              <w:rPr>
                <w:noProof/>
                <w:webHidden/>
              </w:rPr>
              <w:t>1</w:t>
            </w:r>
            <w:r w:rsidR="007611BE">
              <w:rPr>
                <w:noProof/>
                <w:webHidden/>
              </w:rPr>
              <w:fldChar w:fldCharType="end"/>
            </w:r>
          </w:hyperlink>
        </w:p>
        <w:p w14:paraId="2B54B9F8" w14:textId="77777777" w:rsidR="007611BE" w:rsidRDefault="00A53D56">
          <w:pPr>
            <w:pStyle w:val="TOC2"/>
            <w:rPr>
              <w:rFonts w:asciiTheme="minorHAnsi" w:eastAsiaTheme="minorEastAsia" w:hAnsiTheme="minorHAnsi" w:cstheme="minorBidi"/>
              <w:noProof/>
              <w:color w:val="auto"/>
              <w:sz w:val="22"/>
              <w:szCs w:val="22"/>
            </w:rPr>
          </w:pPr>
          <w:hyperlink w:anchor="_Toc370468050" w:history="1">
            <w:r w:rsidR="007611BE" w:rsidRPr="00D34AC4">
              <w:rPr>
                <w:rStyle w:val="Hyperlink"/>
                <w:noProof/>
              </w:rPr>
              <w:t>Purpose and structure of this report</w:t>
            </w:r>
            <w:r w:rsidR="007611BE">
              <w:rPr>
                <w:noProof/>
                <w:webHidden/>
              </w:rPr>
              <w:tab/>
            </w:r>
            <w:r w:rsidR="007611BE">
              <w:rPr>
                <w:noProof/>
                <w:webHidden/>
              </w:rPr>
              <w:fldChar w:fldCharType="begin"/>
            </w:r>
            <w:r w:rsidR="007611BE">
              <w:rPr>
                <w:noProof/>
                <w:webHidden/>
              </w:rPr>
              <w:instrText xml:space="preserve"> PAGEREF _Toc370468050 \h </w:instrText>
            </w:r>
            <w:r w:rsidR="007611BE">
              <w:rPr>
                <w:noProof/>
                <w:webHidden/>
              </w:rPr>
            </w:r>
            <w:r w:rsidR="007611BE">
              <w:rPr>
                <w:noProof/>
                <w:webHidden/>
              </w:rPr>
              <w:fldChar w:fldCharType="separate"/>
            </w:r>
            <w:r w:rsidR="008100A0">
              <w:rPr>
                <w:noProof/>
                <w:webHidden/>
              </w:rPr>
              <w:t>2</w:t>
            </w:r>
            <w:r w:rsidR="007611BE">
              <w:rPr>
                <w:noProof/>
                <w:webHidden/>
              </w:rPr>
              <w:fldChar w:fldCharType="end"/>
            </w:r>
          </w:hyperlink>
        </w:p>
        <w:p w14:paraId="2B54B9F9" w14:textId="24EE586B" w:rsidR="007611BE" w:rsidRDefault="00A53D56">
          <w:pPr>
            <w:pStyle w:val="TOC2"/>
            <w:rPr>
              <w:rFonts w:asciiTheme="minorHAnsi" w:eastAsiaTheme="minorEastAsia" w:hAnsiTheme="minorHAnsi" w:cstheme="minorBidi"/>
              <w:noProof/>
              <w:color w:val="auto"/>
              <w:sz w:val="22"/>
              <w:szCs w:val="22"/>
            </w:rPr>
          </w:pPr>
          <w:hyperlink w:anchor="_Toc370468051" w:history="1">
            <w:r w:rsidR="007611BE" w:rsidRPr="00D34AC4">
              <w:rPr>
                <w:rStyle w:val="Hyperlink"/>
                <w:noProof/>
              </w:rPr>
              <w:t>A cooperative decision</w:t>
            </w:r>
            <w:r w:rsidR="00455542">
              <w:rPr>
                <w:rStyle w:val="Hyperlink"/>
                <w:noProof/>
              </w:rPr>
              <w:noBreakHyphen/>
            </w:r>
            <w:r w:rsidR="007611BE" w:rsidRPr="00D34AC4">
              <w:rPr>
                <w:rStyle w:val="Hyperlink"/>
                <w:noProof/>
              </w:rPr>
              <w:t>making approach</w:t>
            </w:r>
            <w:r w:rsidR="007611BE">
              <w:rPr>
                <w:noProof/>
                <w:webHidden/>
              </w:rPr>
              <w:tab/>
            </w:r>
            <w:r w:rsidR="007611BE">
              <w:rPr>
                <w:noProof/>
                <w:webHidden/>
              </w:rPr>
              <w:fldChar w:fldCharType="begin"/>
            </w:r>
            <w:r w:rsidR="007611BE">
              <w:rPr>
                <w:noProof/>
                <w:webHidden/>
              </w:rPr>
              <w:instrText xml:space="preserve"> PAGEREF _Toc370468051 \h </w:instrText>
            </w:r>
            <w:r w:rsidR="007611BE">
              <w:rPr>
                <w:noProof/>
                <w:webHidden/>
              </w:rPr>
            </w:r>
            <w:r w:rsidR="007611BE">
              <w:rPr>
                <w:noProof/>
                <w:webHidden/>
              </w:rPr>
              <w:fldChar w:fldCharType="separate"/>
            </w:r>
            <w:r w:rsidR="008100A0">
              <w:rPr>
                <w:noProof/>
                <w:webHidden/>
              </w:rPr>
              <w:t>2</w:t>
            </w:r>
            <w:r w:rsidR="007611BE">
              <w:rPr>
                <w:noProof/>
                <w:webHidden/>
              </w:rPr>
              <w:fldChar w:fldCharType="end"/>
            </w:r>
          </w:hyperlink>
        </w:p>
        <w:p w14:paraId="2B54B9FA" w14:textId="77777777" w:rsidR="007611BE" w:rsidRDefault="00A53D56">
          <w:pPr>
            <w:pStyle w:val="TOC3"/>
            <w:rPr>
              <w:rFonts w:asciiTheme="minorHAnsi" w:eastAsiaTheme="minorEastAsia" w:hAnsiTheme="minorHAnsi" w:cstheme="minorBidi"/>
              <w:noProof/>
              <w:color w:val="auto"/>
              <w:sz w:val="22"/>
              <w:szCs w:val="22"/>
            </w:rPr>
          </w:pPr>
          <w:hyperlink w:anchor="_Toc370468052" w:history="1">
            <w:r w:rsidR="007611BE" w:rsidRPr="00D34AC4">
              <w:rPr>
                <w:rStyle w:val="Hyperlink"/>
                <w:noProof/>
              </w:rPr>
              <w:t>Figure 1: CAF governance arrangements</w:t>
            </w:r>
            <w:r w:rsidR="007611BE">
              <w:rPr>
                <w:noProof/>
                <w:webHidden/>
              </w:rPr>
              <w:tab/>
            </w:r>
            <w:r w:rsidR="007611BE">
              <w:rPr>
                <w:noProof/>
                <w:webHidden/>
              </w:rPr>
              <w:fldChar w:fldCharType="begin"/>
            </w:r>
            <w:r w:rsidR="007611BE">
              <w:rPr>
                <w:noProof/>
                <w:webHidden/>
              </w:rPr>
              <w:instrText xml:space="preserve"> PAGEREF _Toc370468052 \h </w:instrText>
            </w:r>
            <w:r w:rsidR="007611BE">
              <w:rPr>
                <w:noProof/>
                <w:webHidden/>
              </w:rPr>
            </w:r>
            <w:r w:rsidR="007611BE">
              <w:rPr>
                <w:noProof/>
                <w:webHidden/>
              </w:rPr>
              <w:fldChar w:fldCharType="separate"/>
            </w:r>
            <w:r w:rsidR="008100A0">
              <w:rPr>
                <w:noProof/>
                <w:webHidden/>
              </w:rPr>
              <w:t>3</w:t>
            </w:r>
            <w:r w:rsidR="007611BE">
              <w:rPr>
                <w:noProof/>
                <w:webHidden/>
              </w:rPr>
              <w:fldChar w:fldCharType="end"/>
            </w:r>
          </w:hyperlink>
        </w:p>
        <w:p w14:paraId="2B54B9FB" w14:textId="77777777" w:rsidR="007611BE" w:rsidRDefault="00A53D56">
          <w:pPr>
            <w:pStyle w:val="TOC1"/>
            <w:rPr>
              <w:rFonts w:asciiTheme="minorHAnsi" w:eastAsiaTheme="minorEastAsia" w:hAnsiTheme="minorHAnsi" w:cstheme="minorBidi"/>
              <w:b w:val="0"/>
              <w:smallCaps w:val="0"/>
              <w:noProof/>
              <w:color w:val="auto"/>
            </w:rPr>
          </w:pPr>
          <w:hyperlink w:anchor="_Toc370468053" w:history="1">
            <w:r w:rsidR="007611BE" w:rsidRPr="00D34AC4">
              <w:rPr>
                <w:rStyle w:val="Hyperlink"/>
                <w:noProof/>
              </w:rPr>
              <w:t>Consumer policy and research</w:t>
            </w:r>
            <w:r w:rsidR="007611BE">
              <w:rPr>
                <w:noProof/>
                <w:webHidden/>
              </w:rPr>
              <w:tab/>
            </w:r>
            <w:r w:rsidR="007611BE">
              <w:rPr>
                <w:noProof/>
                <w:webHidden/>
              </w:rPr>
              <w:fldChar w:fldCharType="begin"/>
            </w:r>
            <w:r w:rsidR="007611BE">
              <w:rPr>
                <w:noProof/>
                <w:webHidden/>
              </w:rPr>
              <w:instrText xml:space="preserve"> PAGEREF _Toc370468053 \h </w:instrText>
            </w:r>
            <w:r w:rsidR="007611BE">
              <w:rPr>
                <w:noProof/>
                <w:webHidden/>
              </w:rPr>
            </w:r>
            <w:r w:rsidR="007611BE">
              <w:rPr>
                <w:noProof/>
                <w:webHidden/>
              </w:rPr>
              <w:fldChar w:fldCharType="separate"/>
            </w:r>
            <w:r w:rsidR="008100A0">
              <w:rPr>
                <w:noProof/>
                <w:webHidden/>
              </w:rPr>
              <w:t>4</w:t>
            </w:r>
            <w:r w:rsidR="007611BE">
              <w:rPr>
                <w:noProof/>
                <w:webHidden/>
              </w:rPr>
              <w:fldChar w:fldCharType="end"/>
            </w:r>
          </w:hyperlink>
        </w:p>
        <w:p w14:paraId="2B54B9FC" w14:textId="77777777" w:rsidR="007611BE" w:rsidRDefault="00A53D56">
          <w:pPr>
            <w:pStyle w:val="TOC2"/>
            <w:rPr>
              <w:rFonts w:asciiTheme="minorHAnsi" w:eastAsiaTheme="minorEastAsia" w:hAnsiTheme="minorHAnsi" w:cstheme="minorBidi"/>
              <w:noProof/>
              <w:color w:val="auto"/>
              <w:sz w:val="22"/>
              <w:szCs w:val="22"/>
            </w:rPr>
          </w:pPr>
          <w:hyperlink w:anchor="_Toc370468054" w:history="1">
            <w:r w:rsidR="007611BE" w:rsidRPr="00D34AC4">
              <w:rPr>
                <w:rStyle w:val="Hyperlink"/>
                <w:noProof/>
              </w:rPr>
              <w:t>Overview</w:t>
            </w:r>
            <w:r w:rsidR="007611BE">
              <w:rPr>
                <w:noProof/>
                <w:webHidden/>
              </w:rPr>
              <w:tab/>
            </w:r>
            <w:r w:rsidR="007611BE">
              <w:rPr>
                <w:noProof/>
                <w:webHidden/>
              </w:rPr>
              <w:fldChar w:fldCharType="begin"/>
            </w:r>
            <w:r w:rsidR="007611BE">
              <w:rPr>
                <w:noProof/>
                <w:webHidden/>
              </w:rPr>
              <w:instrText xml:space="preserve"> PAGEREF _Toc370468054 \h </w:instrText>
            </w:r>
            <w:r w:rsidR="007611BE">
              <w:rPr>
                <w:noProof/>
                <w:webHidden/>
              </w:rPr>
            </w:r>
            <w:r w:rsidR="007611BE">
              <w:rPr>
                <w:noProof/>
                <w:webHidden/>
              </w:rPr>
              <w:fldChar w:fldCharType="separate"/>
            </w:r>
            <w:r w:rsidR="008100A0">
              <w:rPr>
                <w:noProof/>
                <w:webHidden/>
              </w:rPr>
              <w:t>4</w:t>
            </w:r>
            <w:r w:rsidR="007611BE">
              <w:rPr>
                <w:noProof/>
                <w:webHidden/>
              </w:rPr>
              <w:fldChar w:fldCharType="end"/>
            </w:r>
          </w:hyperlink>
        </w:p>
        <w:p w14:paraId="2B54B9FD" w14:textId="58F4B054" w:rsidR="007611BE" w:rsidRDefault="00A53D56">
          <w:pPr>
            <w:pStyle w:val="TOC3"/>
            <w:rPr>
              <w:rFonts w:asciiTheme="minorHAnsi" w:eastAsiaTheme="minorEastAsia" w:hAnsiTheme="minorHAnsi" w:cstheme="minorBidi"/>
              <w:noProof/>
              <w:color w:val="auto"/>
              <w:sz w:val="22"/>
              <w:szCs w:val="22"/>
            </w:rPr>
          </w:pPr>
          <w:hyperlink w:anchor="_Toc370468055" w:history="1">
            <w:r w:rsidR="007611BE" w:rsidRPr="00D34AC4">
              <w:rPr>
                <w:rStyle w:val="Hyperlink"/>
                <w:noProof/>
              </w:rPr>
              <w:t>Strengthening the evidence</w:t>
            </w:r>
            <w:r w:rsidR="00455542">
              <w:rPr>
                <w:rStyle w:val="Hyperlink"/>
                <w:noProof/>
              </w:rPr>
              <w:noBreakHyphen/>
            </w:r>
            <w:r w:rsidR="007611BE" w:rsidRPr="00D34AC4">
              <w:rPr>
                <w:rStyle w:val="Hyperlink"/>
                <w:noProof/>
              </w:rPr>
              <w:t>based approach to consumer policy</w:t>
            </w:r>
            <w:r w:rsidR="007611BE">
              <w:rPr>
                <w:noProof/>
                <w:webHidden/>
              </w:rPr>
              <w:tab/>
            </w:r>
            <w:r w:rsidR="007611BE">
              <w:rPr>
                <w:noProof/>
                <w:webHidden/>
              </w:rPr>
              <w:fldChar w:fldCharType="begin"/>
            </w:r>
            <w:r w:rsidR="007611BE">
              <w:rPr>
                <w:noProof/>
                <w:webHidden/>
              </w:rPr>
              <w:instrText xml:space="preserve"> PAGEREF _Toc370468055 \h </w:instrText>
            </w:r>
            <w:r w:rsidR="007611BE">
              <w:rPr>
                <w:noProof/>
                <w:webHidden/>
              </w:rPr>
            </w:r>
            <w:r w:rsidR="007611BE">
              <w:rPr>
                <w:noProof/>
                <w:webHidden/>
              </w:rPr>
              <w:fldChar w:fldCharType="separate"/>
            </w:r>
            <w:r w:rsidR="008100A0">
              <w:rPr>
                <w:noProof/>
                <w:webHidden/>
              </w:rPr>
              <w:t>4</w:t>
            </w:r>
            <w:r w:rsidR="007611BE">
              <w:rPr>
                <w:noProof/>
                <w:webHidden/>
              </w:rPr>
              <w:fldChar w:fldCharType="end"/>
            </w:r>
          </w:hyperlink>
        </w:p>
        <w:p w14:paraId="2B54B9FE" w14:textId="77777777" w:rsidR="007611BE" w:rsidRDefault="00A53D56">
          <w:pPr>
            <w:pStyle w:val="TOC3"/>
            <w:rPr>
              <w:rFonts w:asciiTheme="minorHAnsi" w:eastAsiaTheme="minorEastAsia" w:hAnsiTheme="minorHAnsi" w:cstheme="minorBidi"/>
              <w:noProof/>
              <w:color w:val="auto"/>
              <w:sz w:val="22"/>
              <w:szCs w:val="22"/>
            </w:rPr>
          </w:pPr>
          <w:hyperlink w:anchor="_Toc370468056" w:history="1">
            <w:r w:rsidR="007611BE" w:rsidRPr="00D34AC4">
              <w:rPr>
                <w:rStyle w:val="Hyperlink"/>
                <w:noProof/>
              </w:rPr>
              <w:t>Implementing amendments to the ACL and reducing compliance costs</w:t>
            </w:r>
            <w:r w:rsidR="007611BE">
              <w:rPr>
                <w:noProof/>
                <w:webHidden/>
              </w:rPr>
              <w:tab/>
            </w:r>
            <w:r w:rsidR="007611BE">
              <w:rPr>
                <w:noProof/>
                <w:webHidden/>
              </w:rPr>
              <w:fldChar w:fldCharType="begin"/>
            </w:r>
            <w:r w:rsidR="007611BE">
              <w:rPr>
                <w:noProof/>
                <w:webHidden/>
              </w:rPr>
              <w:instrText xml:space="preserve"> PAGEREF _Toc370468056 \h </w:instrText>
            </w:r>
            <w:r w:rsidR="007611BE">
              <w:rPr>
                <w:noProof/>
                <w:webHidden/>
              </w:rPr>
            </w:r>
            <w:r w:rsidR="007611BE">
              <w:rPr>
                <w:noProof/>
                <w:webHidden/>
              </w:rPr>
              <w:fldChar w:fldCharType="separate"/>
            </w:r>
            <w:r w:rsidR="008100A0">
              <w:rPr>
                <w:noProof/>
                <w:webHidden/>
              </w:rPr>
              <w:t>5</w:t>
            </w:r>
            <w:r w:rsidR="007611BE">
              <w:rPr>
                <w:noProof/>
                <w:webHidden/>
              </w:rPr>
              <w:fldChar w:fldCharType="end"/>
            </w:r>
          </w:hyperlink>
        </w:p>
        <w:p w14:paraId="2B54B9FF" w14:textId="77777777" w:rsidR="007611BE" w:rsidRDefault="00A53D56">
          <w:pPr>
            <w:pStyle w:val="TOC3"/>
            <w:rPr>
              <w:rFonts w:asciiTheme="minorHAnsi" w:eastAsiaTheme="minorEastAsia" w:hAnsiTheme="minorHAnsi" w:cstheme="minorBidi"/>
              <w:noProof/>
              <w:color w:val="auto"/>
              <w:sz w:val="22"/>
              <w:szCs w:val="22"/>
            </w:rPr>
          </w:pPr>
          <w:hyperlink w:anchor="_Toc370468057" w:history="1">
            <w:r w:rsidR="007611BE" w:rsidRPr="00D34AC4">
              <w:rPr>
                <w:rStyle w:val="Hyperlink"/>
                <w:noProof/>
              </w:rPr>
              <w:t>Supporting a nationally consistent approach to consumer protection challenges</w:t>
            </w:r>
            <w:r w:rsidR="007611BE">
              <w:rPr>
                <w:noProof/>
                <w:webHidden/>
              </w:rPr>
              <w:tab/>
            </w:r>
            <w:r w:rsidR="007611BE">
              <w:rPr>
                <w:noProof/>
                <w:webHidden/>
              </w:rPr>
              <w:fldChar w:fldCharType="begin"/>
            </w:r>
            <w:r w:rsidR="007611BE">
              <w:rPr>
                <w:noProof/>
                <w:webHidden/>
              </w:rPr>
              <w:instrText xml:space="preserve"> PAGEREF _Toc370468057 \h </w:instrText>
            </w:r>
            <w:r w:rsidR="007611BE">
              <w:rPr>
                <w:noProof/>
                <w:webHidden/>
              </w:rPr>
            </w:r>
            <w:r w:rsidR="007611BE">
              <w:rPr>
                <w:noProof/>
                <w:webHidden/>
              </w:rPr>
              <w:fldChar w:fldCharType="separate"/>
            </w:r>
            <w:r w:rsidR="008100A0">
              <w:rPr>
                <w:noProof/>
                <w:webHidden/>
              </w:rPr>
              <w:t>6</w:t>
            </w:r>
            <w:r w:rsidR="007611BE">
              <w:rPr>
                <w:noProof/>
                <w:webHidden/>
              </w:rPr>
              <w:fldChar w:fldCharType="end"/>
            </w:r>
          </w:hyperlink>
        </w:p>
        <w:p w14:paraId="2B54BA00" w14:textId="77777777" w:rsidR="007611BE" w:rsidRDefault="00A53D56">
          <w:pPr>
            <w:pStyle w:val="TOC1"/>
            <w:rPr>
              <w:rFonts w:asciiTheme="minorHAnsi" w:eastAsiaTheme="minorEastAsia" w:hAnsiTheme="minorHAnsi" w:cstheme="minorBidi"/>
              <w:b w:val="0"/>
              <w:smallCaps w:val="0"/>
              <w:noProof/>
              <w:color w:val="auto"/>
            </w:rPr>
          </w:pPr>
          <w:hyperlink w:anchor="_Toc370468058" w:history="1">
            <w:r w:rsidR="007611BE" w:rsidRPr="00D34AC4">
              <w:rPr>
                <w:rStyle w:val="Hyperlink"/>
                <w:noProof/>
              </w:rPr>
              <w:t>Education and information for consumers and business</w:t>
            </w:r>
            <w:r w:rsidR="007611BE">
              <w:rPr>
                <w:noProof/>
                <w:webHidden/>
              </w:rPr>
              <w:tab/>
            </w:r>
            <w:r w:rsidR="007611BE">
              <w:rPr>
                <w:noProof/>
                <w:webHidden/>
              </w:rPr>
              <w:fldChar w:fldCharType="begin"/>
            </w:r>
            <w:r w:rsidR="007611BE">
              <w:rPr>
                <w:noProof/>
                <w:webHidden/>
              </w:rPr>
              <w:instrText xml:space="preserve"> PAGEREF _Toc370468058 \h </w:instrText>
            </w:r>
            <w:r w:rsidR="007611BE">
              <w:rPr>
                <w:noProof/>
                <w:webHidden/>
              </w:rPr>
            </w:r>
            <w:r w:rsidR="007611BE">
              <w:rPr>
                <w:noProof/>
                <w:webHidden/>
              </w:rPr>
              <w:fldChar w:fldCharType="separate"/>
            </w:r>
            <w:r w:rsidR="008100A0">
              <w:rPr>
                <w:noProof/>
                <w:webHidden/>
              </w:rPr>
              <w:t>10</w:t>
            </w:r>
            <w:r w:rsidR="007611BE">
              <w:rPr>
                <w:noProof/>
                <w:webHidden/>
              </w:rPr>
              <w:fldChar w:fldCharType="end"/>
            </w:r>
          </w:hyperlink>
        </w:p>
        <w:p w14:paraId="2B54BA01" w14:textId="77777777" w:rsidR="007611BE" w:rsidRDefault="00A53D56">
          <w:pPr>
            <w:pStyle w:val="TOC2"/>
            <w:rPr>
              <w:rFonts w:asciiTheme="minorHAnsi" w:eastAsiaTheme="minorEastAsia" w:hAnsiTheme="minorHAnsi" w:cstheme="minorBidi"/>
              <w:noProof/>
              <w:color w:val="auto"/>
              <w:sz w:val="22"/>
              <w:szCs w:val="22"/>
            </w:rPr>
          </w:pPr>
          <w:hyperlink w:anchor="_Toc370468060" w:history="1">
            <w:r w:rsidR="007611BE" w:rsidRPr="00D34AC4">
              <w:rPr>
                <w:rStyle w:val="Hyperlink"/>
                <w:noProof/>
              </w:rPr>
              <w:t>Overview</w:t>
            </w:r>
            <w:r w:rsidR="007611BE">
              <w:rPr>
                <w:noProof/>
                <w:webHidden/>
              </w:rPr>
              <w:tab/>
            </w:r>
            <w:r w:rsidR="007611BE">
              <w:rPr>
                <w:noProof/>
                <w:webHidden/>
              </w:rPr>
              <w:fldChar w:fldCharType="begin"/>
            </w:r>
            <w:r w:rsidR="007611BE">
              <w:rPr>
                <w:noProof/>
                <w:webHidden/>
              </w:rPr>
              <w:instrText xml:space="preserve"> PAGEREF _Toc370468060 \h </w:instrText>
            </w:r>
            <w:r w:rsidR="007611BE">
              <w:rPr>
                <w:noProof/>
                <w:webHidden/>
              </w:rPr>
            </w:r>
            <w:r w:rsidR="007611BE">
              <w:rPr>
                <w:noProof/>
                <w:webHidden/>
              </w:rPr>
              <w:fldChar w:fldCharType="separate"/>
            </w:r>
            <w:r w:rsidR="008100A0">
              <w:rPr>
                <w:noProof/>
                <w:webHidden/>
              </w:rPr>
              <w:t>10</w:t>
            </w:r>
            <w:r w:rsidR="007611BE">
              <w:rPr>
                <w:noProof/>
                <w:webHidden/>
              </w:rPr>
              <w:fldChar w:fldCharType="end"/>
            </w:r>
          </w:hyperlink>
        </w:p>
        <w:p w14:paraId="2B54BA02" w14:textId="77777777" w:rsidR="007611BE" w:rsidRDefault="00A53D56">
          <w:pPr>
            <w:pStyle w:val="TOC3"/>
            <w:rPr>
              <w:rFonts w:asciiTheme="minorHAnsi" w:eastAsiaTheme="minorEastAsia" w:hAnsiTheme="minorHAnsi" w:cstheme="minorBidi"/>
              <w:noProof/>
              <w:color w:val="auto"/>
              <w:sz w:val="22"/>
              <w:szCs w:val="22"/>
            </w:rPr>
          </w:pPr>
          <w:hyperlink w:anchor="_Toc370468061" w:history="1">
            <w:r w:rsidR="007611BE" w:rsidRPr="00D34AC4">
              <w:rPr>
                <w:rStyle w:val="Hyperlink"/>
                <w:noProof/>
              </w:rPr>
              <w:t>Improving consumer understanding of the ACL</w:t>
            </w:r>
            <w:r w:rsidR="007611BE">
              <w:rPr>
                <w:noProof/>
                <w:webHidden/>
              </w:rPr>
              <w:tab/>
            </w:r>
            <w:r w:rsidR="007611BE">
              <w:rPr>
                <w:noProof/>
                <w:webHidden/>
              </w:rPr>
              <w:fldChar w:fldCharType="begin"/>
            </w:r>
            <w:r w:rsidR="007611BE">
              <w:rPr>
                <w:noProof/>
                <w:webHidden/>
              </w:rPr>
              <w:instrText xml:space="preserve"> PAGEREF _Toc370468061 \h </w:instrText>
            </w:r>
            <w:r w:rsidR="007611BE">
              <w:rPr>
                <w:noProof/>
                <w:webHidden/>
              </w:rPr>
            </w:r>
            <w:r w:rsidR="007611BE">
              <w:rPr>
                <w:noProof/>
                <w:webHidden/>
              </w:rPr>
              <w:fldChar w:fldCharType="separate"/>
            </w:r>
            <w:r w:rsidR="008100A0">
              <w:rPr>
                <w:noProof/>
                <w:webHidden/>
              </w:rPr>
              <w:t>10</w:t>
            </w:r>
            <w:r w:rsidR="007611BE">
              <w:rPr>
                <w:noProof/>
                <w:webHidden/>
              </w:rPr>
              <w:fldChar w:fldCharType="end"/>
            </w:r>
          </w:hyperlink>
        </w:p>
        <w:p w14:paraId="2B54BA03" w14:textId="77777777" w:rsidR="007611BE" w:rsidRDefault="00A53D56">
          <w:pPr>
            <w:pStyle w:val="TOC3"/>
            <w:rPr>
              <w:rFonts w:asciiTheme="minorHAnsi" w:eastAsiaTheme="minorEastAsia" w:hAnsiTheme="minorHAnsi" w:cstheme="minorBidi"/>
              <w:noProof/>
              <w:color w:val="auto"/>
              <w:sz w:val="22"/>
              <w:szCs w:val="22"/>
            </w:rPr>
          </w:pPr>
          <w:hyperlink w:anchor="_Toc370468062" w:history="1">
            <w:r w:rsidR="007611BE" w:rsidRPr="00D34AC4">
              <w:rPr>
                <w:rStyle w:val="Hyperlink"/>
                <w:noProof/>
              </w:rPr>
              <w:t>Supporting and promoting compliance activities</w:t>
            </w:r>
            <w:r w:rsidR="007611BE">
              <w:rPr>
                <w:noProof/>
                <w:webHidden/>
              </w:rPr>
              <w:tab/>
            </w:r>
            <w:r w:rsidR="007611BE">
              <w:rPr>
                <w:noProof/>
                <w:webHidden/>
              </w:rPr>
              <w:fldChar w:fldCharType="begin"/>
            </w:r>
            <w:r w:rsidR="007611BE">
              <w:rPr>
                <w:noProof/>
                <w:webHidden/>
              </w:rPr>
              <w:instrText xml:space="preserve"> PAGEREF _Toc370468062 \h </w:instrText>
            </w:r>
            <w:r w:rsidR="007611BE">
              <w:rPr>
                <w:noProof/>
                <w:webHidden/>
              </w:rPr>
            </w:r>
            <w:r w:rsidR="007611BE">
              <w:rPr>
                <w:noProof/>
                <w:webHidden/>
              </w:rPr>
              <w:fldChar w:fldCharType="separate"/>
            </w:r>
            <w:r w:rsidR="008100A0">
              <w:rPr>
                <w:noProof/>
                <w:webHidden/>
              </w:rPr>
              <w:t>12</w:t>
            </w:r>
            <w:r w:rsidR="007611BE">
              <w:rPr>
                <w:noProof/>
                <w:webHidden/>
              </w:rPr>
              <w:fldChar w:fldCharType="end"/>
            </w:r>
          </w:hyperlink>
        </w:p>
        <w:p w14:paraId="2B54BA04" w14:textId="77777777" w:rsidR="007611BE" w:rsidRDefault="00A53D56">
          <w:pPr>
            <w:pStyle w:val="TOC3"/>
            <w:rPr>
              <w:rFonts w:asciiTheme="minorHAnsi" w:eastAsiaTheme="minorEastAsia" w:hAnsiTheme="minorHAnsi" w:cstheme="minorBidi"/>
              <w:noProof/>
              <w:color w:val="auto"/>
              <w:sz w:val="22"/>
              <w:szCs w:val="22"/>
            </w:rPr>
          </w:pPr>
          <w:hyperlink w:anchor="_Toc370468063" w:history="1">
            <w:r w:rsidR="007611BE" w:rsidRPr="00D34AC4">
              <w:rPr>
                <w:rStyle w:val="Hyperlink"/>
                <w:noProof/>
              </w:rPr>
              <w:t>Assisting consumers as they engage with the marketplace</w:t>
            </w:r>
            <w:r w:rsidR="007611BE">
              <w:rPr>
                <w:noProof/>
                <w:webHidden/>
              </w:rPr>
              <w:tab/>
            </w:r>
            <w:r w:rsidR="007611BE">
              <w:rPr>
                <w:noProof/>
                <w:webHidden/>
              </w:rPr>
              <w:fldChar w:fldCharType="begin"/>
            </w:r>
            <w:r w:rsidR="007611BE">
              <w:rPr>
                <w:noProof/>
                <w:webHidden/>
              </w:rPr>
              <w:instrText xml:space="preserve"> PAGEREF _Toc370468063 \h </w:instrText>
            </w:r>
            <w:r w:rsidR="007611BE">
              <w:rPr>
                <w:noProof/>
                <w:webHidden/>
              </w:rPr>
            </w:r>
            <w:r w:rsidR="007611BE">
              <w:rPr>
                <w:noProof/>
                <w:webHidden/>
              </w:rPr>
              <w:fldChar w:fldCharType="separate"/>
            </w:r>
            <w:r w:rsidR="008100A0">
              <w:rPr>
                <w:noProof/>
                <w:webHidden/>
              </w:rPr>
              <w:t>15</w:t>
            </w:r>
            <w:r w:rsidR="007611BE">
              <w:rPr>
                <w:noProof/>
                <w:webHidden/>
              </w:rPr>
              <w:fldChar w:fldCharType="end"/>
            </w:r>
          </w:hyperlink>
        </w:p>
        <w:p w14:paraId="2B54BA05" w14:textId="77777777" w:rsidR="007611BE" w:rsidRDefault="00A53D56">
          <w:pPr>
            <w:pStyle w:val="TOC1"/>
            <w:rPr>
              <w:rFonts w:asciiTheme="minorHAnsi" w:eastAsiaTheme="minorEastAsia" w:hAnsiTheme="minorHAnsi" w:cstheme="minorBidi"/>
              <w:b w:val="0"/>
              <w:smallCaps w:val="0"/>
              <w:noProof/>
              <w:color w:val="auto"/>
            </w:rPr>
          </w:pPr>
          <w:hyperlink w:anchor="_Toc370468064" w:history="1">
            <w:r w:rsidR="007611BE" w:rsidRPr="00D34AC4">
              <w:rPr>
                <w:rStyle w:val="Hyperlink"/>
                <w:noProof/>
              </w:rPr>
              <w:t>Compliance and dispute resolution</w:t>
            </w:r>
            <w:r w:rsidR="007611BE">
              <w:rPr>
                <w:noProof/>
                <w:webHidden/>
              </w:rPr>
              <w:tab/>
            </w:r>
            <w:r w:rsidR="007611BE">
              <w:rPr>
                <w:noProof/>
                <w:webHidden/>
              </w:rPr>
              <w:fldChar w:fldCharType="begin"/>
            </w:r>
            <w:r w:rsidR="007611BE">
              <w:rPr>
                <w:noProof/>
                <w:webHidden/>
              </w:rPr>
              <w:instrText xml:space="preserve"> PAGEREF _Toc370468064 \h </w:instrText>
            </w:r>
            <w:r w:rsidR="007611BE">
              <w:rPr>
                <w:noProof/>
                <w:webHidden/>
              </w:rPr>
            </w:r>
            <w:r w:rsidR="007611BE">
              <w:rPr>
                <w:noProof/>
                <w:webHidden/>
              </w:rPr>
              <w:fldChar w:fldCharType="separate"/>
            </w:r>
            <w:r w:rsidR="008100A0">
              <w:rPr>
                <w:noProof/>
                <w:webHidden/>
              </w:rPr>
              <w:t>16</w:t>
            </w:r>
            <w:r w:rsidR="007611BE">
              <w:rPr>
                <w:noProof/>
                <w:webHidden/>
              </w:rPr>
              <w:fldChar w:fldCharType="end"/>
            </w:r>
          </w:hyperlink>
        </w:p>
        <w:p w14:paraId="2B54BA06" w14:textId="77777777" w:rsidR="007611BE" w:rsidRDefault="00A53D56">
          <w:pPr>
            <w:pStyle w:val="TOC2"/>
            <w:rPr>
              <w:rFonts w:asciiTheme="minorHAnsi" w:eastAsiaTheme="minorEastAsia" w:hAnsiTheme="minorHAnsi" w:cstheme="minorBidi"/>
              <w:noProof/>
              <w:color w:val="auto"/>
              <w:sz w:val="22"/>
              <w:szCs w:val="22"/>
            </w:rPr>
          </w:pPr>
          <w:hyperlink w:anchor="_Toc370468066" w:history="1">
            <w:r w:rsidR="007611BE" w:rsidRPr="00D34AC4">
              <w:rPr>
                <w:rStyle w:val="Hyperlink"/>
                <w:noProof/>
              </w:rPr>
              <w:t>Overview</w:t>
            </w:r>
            <w:r w:rsidR="007611BE">
              <w:rPr>
                <w:noProof/>
                <w:webHidden/>
              </w:rPr>
              <w:tab/>
            </w:r>
            <w:r w:rsidR="007611BE">
              <w:rPr>
                <w:noProof/>
                <w:webHidden/>
              </w:rPr>
              <w:fldChar w:fldCharType="begin"/>
            </w:r>
            <w:r w:rsidR="007611BE">
              <w:rPr>
                <w:noProof/>
                <w:webHidden/>
              </w:rPr>
              <w:instrText xml:space="preserve"> PAGEREF _Toc370468066 \h </w:instrText>
            </w:r>
            <w:r w:rsidR="007611BE">
              <w:rPr>
                <w:noProof/>
                <w:webHidden/>
              </w:rPr>
            </w:r>
            <w:r w:rsidR="007611BE">
              <w:rPr>
                <w:noProof/>
                <w:webHidden/>
              </w:rPr>
              <w:fldChar w:fldCharType="separate"/>
            </w:r>
            <w:r w:rsidR="008100A0">
              <w:rPr>
                <w:noProof/>
                <w:webHidden/>
              </w:rPr>
              <w:t>16</w:t>
            </w:r>
            <w:r w:rsidR="007611BE">
              <w:rPr>
                <w:noProof/>
                <w:webHidden/>
              </w:rPr>
              <w:fldChar w:fldCharType="end"/>
            </w:r>
          </w:hyperlink>
        </w:p>
        <w:p w14:paraId="2B54BA07" w14:textId="77777777" w:rsidR="007611BE" w:rsidRDefault="00A53D56">
          <w:pPr>
            <w:pStyle w:val="TOC3"/>
            <w:rPr>
              <w:rFonts w:asciiTheme="minorHAnsi" w:eastAsiaTheme="minorEastAsia" w:hAnsiTheme="minorHAnsi" w:cstheme="minorBidi"/>
              <w:noProof/>
              <w:color w:val="auto"/>
              <w:sz w:val="22"/>
              <w:szCs w:val="22"/>
            </w:rPr>
          </w:pPr>
          <w:hyperlink w:anchor="_Toc370468067" w:history="1">
            <w:r w:rsidR="007611BE" w:rsidRPr="00D34AC4">
              <w:rPr>
                <w:rStyle w:val="Hyperlink"/>
                <w:noProof/>
              </w:rPr>
              <w:t>Closer integration of compliance and enforcement operations</w:t>
            </w:r>
            <w:r w:rsidR="007611BE">
              <w:rPr>
                <w:noProof/>
                <w:webHidden/>
              </w:rPr>
              <w:tab/>
            </w:r>
            <w:r w:rsidR="007611BE">
              <w:rPr>
                <w:noProof/>
                <w:webHidden/>
              </w:rPr>
              <w:fldChar w:fldCharType="begin"/>
            </w:r>
            <w:r w:rsidR="007611BE">
              <w:rPr>
                <w:noProof/>
                <w:webHidden/>
              </w:rPr>
              <w:instrText xml:space="preserve"> PAGEREF _Toc370468067 \h </w:instrText>
            </w:r>
            <w:r w:rsidR="007611BE">
              <w:rPr>
                <w:noProof/>
                <w:webHidden/>
              </w:rPr>
            </w:r>
            <w:r w:rsidR="007611BE">
              <w:rPr>
                <w:noProof/>
                <w:webHidden/>
              </w:rPr>
              <w:fldChar w:fldCharType="separate"/>
            </w:r>
            <w:r w:rsidR="008100A0">
              <w:rPr>
                <w:noProof/>
                <w:webHidden/>
              </w:rPr>
              <w:t>16</w:t>
            </w:r>
            <w:r w:rsidR="007611BE">
              <w:rPr>
                <w:noProof/>
                <w:webHidden/>
              </w:rPr>
              <w:fldChar w:fldCharType="end"/>
            </w:r>
          </w:hyperlink>
        </w:p>
        <w:p w14:paraId="2B54BA08" w14:textId="77777777" w:rsidR="007611BE" w:rsidRDefault="00A53D56">
          <w:pPr>
            <w:pStyle w:val="TOC3"/>
            <w:rPr>
              <w:rFonts w:asciiTheme="minorHAnsi" w:eastAsiaTheme="minorEastAsia" w:hAnsiTheme="minorHAnsi" w:cstheme="minorBidi"/>
              <w:noProof/>
              <w:color w:val="auto"/>
              <w:sz w:val="22"/>
              <w:szCs w:val="22"/>
            </w:rPr>
          </w:pPr>
          <w:hyperlink w:anchor="_Toc370468068" w:history="1">
            <w:r w:rsidR="007611BE" w:rsidRPr="00D34AC4">
              <w:rPr>
                <w:rStyle w:val="Hyperlink"/>
                <w:noProof/>
              </w:rPr>
              <w:t>Achieving compliance with the ACL</w:t>
            </w:r>
            <w:r w:rsidR="007611BE">
              <w:rPr>
                <w:noProof/>
                <w:webHidden/>
              </w:rPr>
              <w:tab/>
            </w:r>
            <w:r w:rsidR="007611BE">
              <w:rPr>
                <w:noProof/>
                <w:webHidden/>
              </w:rPr>
              <w:fldChar w:fldCharType="begin"/>
            </w:r>
            <w:r w:rsidR="007611BE">
              <w:rPr>
                <w:noProof/>
                <w:webHidden/>
              </w:rPr>
              <w:instrText xml:space="preserve"> PAGEREF _Toc370468068 \h </w:instrText>
            </w:r>
            <w:r w:rsidR="007611BE">
              <w:rPr>
                <w:noProof/>
                <w:webHidden/>
              </w:rPr>
            </w:r>
            <w:r w:rsidR="007611BE">
              <w:rPr>
                <w:noProof/>
                <w:webHidden/>
              </w:rPr>
              <w:fldChar w:fldCharType="separate"/>
            </w:r>
            <w:r w:rsidR="008100A0">
              <w:rPr>
                <w:noProof/>
                <w:webHidden/>
              </w:rPr>
              <w:t>17</w:t>
            </w:r>
            <w:r w:rsidR="007611BE">
              <w:rPr>
                <w:noProof/>
                <w:webHidden/>
              </w:rPr>
              <w:fldChar w:fldCharType="end"/>
            </w:r>
          </w:hyperlink>
        </w:p>
        <w:p w14:paraId="2B54BA09" w14:textId="77777777" w:rsidR="007611BE" w:rsidRDefault="00A53D56">
          <w:pPr>
            <w:pStyle w:val="TOC3"/>
            <w:rPr>
              <w:rFonts w:asciiTheme="minorHAnsi" w:eastAsiaTheme="minorEastAsia" w:hAnsiTheme="minorHAnsi" w:cstheme="minorBidi"/>
              <w:noProof/>
              <w:color w:val="auto"/>
              <w:sz w:val="22"/>
              <w:szCs w:val="22"/>
            </w:rPr>
          </w:pPr>
          <w:hyperlink w:anchor="_Toc370468069" w:history="1">
            <w:r w:rsidR="007611BE" w:rsidRPr="00D34AC4">
              <w:rPr>
                <w:rStyle w:val="Hyperlink"/>
                <w:noProof/>
              </w:rPr>
              <w:t>Responding to unfair trade practices</w:t>
            </w:r>
            <w:r w:rsidR="007611BE">
              <w:rPr>
                <w:noProof/>
                <w:webHidden/>
              </w:rPr>
              <w:tab/>
            </w:r>
            <w:r w:rsidR="007611BE">
              <w:rPr>
                <w:noProof/>
                <w:webHidden/>
              </w:rPr>
              <w:fldChar w:fldCharType="begin"/>
            </w:r>
            <w:r w:rsidR="007611BE">
              <w:rPr>
                <w:noProof/>
                <w:webHidden/>
              </w:rPr>
              <w:instrText xml:space="preserve"> PAGEREF _Toc370468069 \h </w:instrText>
            </w:r>
            <w:r w:rsidR="007611BE">
              <w:rPr>
                <w:noProof/>
                <w:webHidden/>
              </w:rPr>
            </w:r>
            <w:r w:rsidR="007611BE">
              <w:rPr>
                <w:noProof/>
                <w:webHidden/>
              </w:rPr>
              <w:fldChar w:fldCharType="separate"/>
            </w:r>
            <w:r w:rsidR="008100A0">
              <w:rPr>
                <w:noProof/>
                <w:webHidden/>
              </w:rPr>
              <w:t>21</w:t>
            </w:r>
            <w:r w:rsidR="007611BE">
              <w:rPr>
                <w:noProof/>
                <w:webHidden/>
              </w:rPr>
              <w:fldChar w:fldCharType="end"/>
            </w:r>
          </w:hyperlink>
        </w:p>
        <w:p w14:paraId="2B54BA0A" w14:textId="77777777" w:rsidR="007611BE" w:rsidRDefault="00A53D56">
          <w:pPr>
            <w:pStyle w:val="TOC3"/>
            <w:rPr>
              <w:rFonts w:asciiTheme="minorHAnsi" w:eastAsiaTheme="minorEastAsia" w:hAnsiTheme="minorHAnsi" w:cstheme="minorBidi"/>
              <w:noProof/>
              <w:color w:val="auto"/>
              <w:sz w:val="22"/>
              <w:szCs w:val="22"/>
            </w:rPr>
          </w:pPr>
          <w:hyperlink w:anchor="_Toc370468070" w:history="1">
            <w:r w:rsidR="007611BE" w:rsidRPr="00D34AC4">
              <w:rPr>
                <w:rStyle w:val="Hyperlink"/>
                <w:noProof/>
              </w:rPr>
              <w:t>Identifying and responding to emerging consumer issues</w:t>
            </w:r>
            <w:r w:rsidR="007611BE">
              <w:rPr>
                <w:noProof/>
                <w:webHidden/>
              </w:rPr>
              <w:tab/>
            </w:r>
            <w:r w:rsidR="007611BE">
              <w:rPr>
                <w:noProof/>
                <w:webHidden/>
              </w:rPr>
              <w:fldChar w:fldCharType="begin"/>
            </w:r>
            <w:r w:rsidR="007611BE">
              <w:rPr>
                <w:noProof/>
                <w:webHidden/>
              </w:rPr>
              <w:instrText xml:space="preserve"> PAGEREF _Toc370468070 \h </w:instrText>
            </w:r>
            <w:r w:rsidR="007611BE">
              <w:rPr>
                <w:noProof/>
                <w:webHidden/>
              </w:rPr>
            </w:r>
            <w:r w:rsidR="007611BE">
              <w:rPr>
                <w:noProof/>
                <w:webHidden/>
              </w:rPr>
              <w:fldChar w:fldCharType="separate"/>
            </w:r>
            <w:r w:rsidR="008100A0">
              <w:rPr>
                <w:noProof/>
                <w:webHidden/>
              </w:rPr>
              <w:t>26</w:t>
            </w:r>
            <w:r w:rsidR="007611BE">
              <w:rPr>
                <w:noProof/>
                <w:webHidden/>
              </w:rPr>
              <w:fldChar w:fldCharType="end"/>
            </w:r>
          </w:hyperlink>
        </w:p>
        <w:p w14:paraId="2B54BA0B" w14:textId="77777777" w:rsidR="007611BE" w:rsidRDefault="00A53D56">
          <w:pPr>
            <w:pStyle w:val="TOC1"/>
            <w:rPr>
              <w:rFonts w:asciiTheme="minorHAnsi" w:eastAsiaTheme="minorEastAsia" w:hAnsiTheme="minorHAnsi" w:cstheme="minorBidi"/>
              <w:b w:val="0"/>
              <w:smallCaps w:val="0"/>
              <w:noProof/>
              <w:color w:val="auto"/>
            </w:rPr>
          </w:pPr>
          <w:hyperlink w:anchor="_Toc370468071" w:history="1">
            <w:r w:rsidR="007611BE" w:rsidRPr="00D34AC4">
              <w:rPr>
                <w:rStyle w:val="Hyperlink"/>
                <w:noProof/>
              </w:rPr>
              <w:t>Product safety</w:t>
            </w:r>
            <w:r w:rsidR="007611BE">
              <w:rPr>
                <w:noProof/>
                <w:webHidden/>
              </w:rPr>
              <w:tab/>
            </w:r>
            <w:r w:rsidR="007611BE">
              <w:rPr>
                <w:noProof/>
                <w:webHidden/>
              </w:rPr>
              <w:fldChar w:fldCharType="begin"/>
            </w:r>
            <w:r w:rsidR="007611BE">
              <w:rPr>
                <w:noProof/>
                <w:webHidden/>
              </w:rPr>
              <w:instrText xml:space="preserve"> PAGEREF _Toc370468071 \h </w:instrText>
            </w:r>
            <w:r w:rsidR="007611BE">
              <w:rPr>
                <w:noProof/>
                <w:webHidden/>
              </w:rPr>
            </w:r>
            <w:r w:rsidR="007611BE">
              <w:rPr>
                <w:noProof/>
                <w:webHidden/>
              </w:rPr>
              <w:fldChar w:fldCharType="separate"/>
            </w:r>
            <w:r w:rsidR="008100A0">
              <w:rPr>
                <w:noProof/>
                <w:webHidden/>
              </w:rPr>
              <w:t>31</w:t>
            </w:r>
            <w:r w:rsidR="007611BE">
              <w:rPr>
                <w:noProof/>
                <w:webHidden/>
              </w:rPr>
              <w:fldChar w:fldCharType="end"/>
            </w:r>
          </w:hyperlink>
        </w:p>
        <w:p w14:paraId="2B54BA0C" w14:textId="77777777" w:rsidR="007611BE" w:rsidRDefault="00A53D56">
          <w:pPr>
            <w:pStyle w:val="TOC2"/>
            <w:rPr>
              <w:rFonts w:asciiTheme="minorHAnsi" w:eastAsiaTheme="minorEastAsia" w:hAnsiTheme="minorHAnsi" w:cstheme="minorBidi"/>
              <w:noProof/>
              <w:color w:val="auto"/>
              <w:sz w:val="22"/>
              <w:szCs w:val="22"/>
            </w:rPr>
          </w:pPr>
          <w:hyperlink w:anchor="_Toc370468072" w:history="1">
            <w:r w:rsidR="007611BE" w:rsidRPr="00D34AC4">
              <w:rPr>
                <w:rStyle w:val="Hyperlink"/>
                <w:noProof/>
              </w:rPr>
              <w:t>Overview</w:t>
            </w:r>
            <w:r w:rsidR="007611BE">
              <w:rPr>
                <w:noProof/>
                <w:webHidden/>
              </w:rPr>
              <w:tab/>
            </w:r>
            <w:r w:rsidR="007611BE">
              <w:rPr>
                <w:noProof/>
                <w:webHidden/>
              </w:rPr>
              <w:fldChar w:fldCharType="begin"/>
            </w:r>
            <w:r w:rsidR="007611BE">
              <w:rPr>
                <w:noProof/>
                <w:webHidden/>
              </w:rPr>
              <w:instrText xml:space="preserve"> PAGEREF _Toc370468072 \h </w:instrText>
            </w:r>
            <w:r w:rsidR="007611BE">
              <w:rPr>
                <w:noProof/>
                <w:webHidden/>
              </w:rPr>
            </w:r>
            <w:r w:rsidR="007611BE">
              <w:rPr>
                <w:noProof/>
                <w:webHidden/>
              </w:rPr>
              <w:fldChar w:fldCharType="separate"/>
            </w:r>
            <w:r w:rsidR="008100A0">
              <w:rPr>
                <w:noProof/>
                <w:webHidden/>
              </w:rPr>
              <w:t>31</w:t>
            </w:r>
            <w:r w:rsidR="007611BE">
              <w:rPr>
                <w:noProof/>
                <w:webHidden/>
              </w:rPr>
              <w:fldChar w:fldCharType="end"/>
            </w:r>
          </w:hyperlink>
        </w:p>
        <w:p w14:paraId="2B54BA0D" w14:textId="77777777" w:rsidR="007611BE" w:rsidRDefault="00A53D56">
          <w:pPr>
            <w:pStyle w:val="TOC3"/>
            <w:rPr>
              <w:rFonts w:asciiTheme="minorHAnsi" w:eastAsiaTheme="minorEastAsia" w:hAnsiTheme="minorHAnsi" w:cstheme="minorBidi"/>
              <w:noProof/>
              <w:color w:val="auto"/>
              <w:sz w:val="22"/>
              <w:szCs w:val="22"/>
            </w:rPr>
          </w:pPr>
          <w:hyperlink w:anchor="_Toc370468073" w:history="1">
            <w:r w:rsidR="007611BE" w:rsidRPr="00D34AC4">
              <w:rPr>
                <w:rStyle w:val="Hyperlink"/>
                <w:noProof/>
              </w:rPr>
              <w:t>Coordinating national strategies to reduce the risk of product related injury and death</w:t>
            </w:r>
            <w:r w:rsidR="007611BE">
              <w:rPr>
                <w:noProof/>
                <w:webHidden/>
              </w:rPr>
              <w:tab/>
            </w:r>
            <w:r w:rsidR="007611BE">
              <w:rPr>
                <w:noProof/>
                <w:webHidden/>
              </w:rPr>
              <w:fldChar w:fldCharType="begin"/>
            </w:r>
            <w:r w:rsidR="007611BE">
              <w:rPr>
                <w:noProof/>
                <w:webHidden/>
              </w:rPr>
              <w:instrText xml:space="preserve"> PAGEREF _Toc370468073 \h </w:instrText>
            </w:r>
            <w:r w:rsidR="007611BE">
              <w:rPr>
                <w:noProof/>
                <w:webHidden/>
              </w:rPr>
            </w:r>
            <w:r w:rsidR="007611BE">
              <w:rPr>
                <w:noProof/>
                <w:webHidden/>
              </w:rPr>
              <w:fldChar w:fldCharType="separate"/>
            </w:r>
            <w:r w:rsidR="008100A0">
              <w:rPr>
                <w:noProof/>
                <w:webHidden/>
              </w:rPr>
              <w:t>31</w:t>
            </w:r>
            <w:r w:rsidR="007611BE">
              <w:rPr>
                <w:noProof/>
                <w:webHidden/>
              </w:rPr>
              <w:fldChar w:fldCharType="end"/>
            </w:r>
          </w:hyperlink>
        </w:p>
        <w:p w14:paraId="2B54BA0E" w14:textId="77777777" w:rsidR="007611BE" w:rsidRDefault="00A53D56">
          <w:pPr>
            <w:pStyle w:val="TOC3"/>
            <w:rPr>
              <w:rFonts w:asciiTheme="minorHAnsi" w:eastAsiaTheme="minorEastAsia" w:hAnsiTheme="minorHAnsi" w:cstheme="minorBidi"/>
              <w:noProof/>
              <w:color w:val="auto"/>
              <w:sz w:val="22"/>
              <w:szCs w:val="22"/>
            </w:rPr>
          </w:pPr>
          <w:hyperlink w:anchor="_Toc370468074" w:history="1">
            <w:r w:rsidR="007611BE" w:rsidRPr="00D34AC4">
              <w:rPr>
                <w:rStyle w:val="Hyperlink"/>
                <w:noProof/>
              </w:rPr>
              <w:t>Achieving compliance with Australia’s product safety system</w:t>
            </w:r>
            <w:r w:rsidR="007611BE">
              <w:rPr>
                <w:noProof/>
                <w:webHidden/>
              </w:rPr>
              <w:tab/>
            </w:r>
            <w:r w:rsidR="007611BE">
              <w:rPr>
                <w:noProof/>
                <w:webHidden/>
              </w:rPr>
              <w:fldChar w:fldCharType="begin"/>
            </w:r>
            <w:r w:rsidR="007611BE">
              <w:rPr>
                <w:noProof/>
                <w:webHidden/>
              </w:rPr>
              <w:instrText xml:space="preserve"> PAGEREF _Toc370468074 \h </w:instrText>
            </w:r>
            <w:r w:rsidR="007611BE">
              <w:rPr>
                <w:noProof/>
                <w:webHidden/>
              </w:rPr>
            </w:r>
            <w:r w:rsidR="007611BE">
              <w:rPr>
                <w:noProof/>
                <w:webHidden/>
              </w:rPr>
              <w:fldChar w:fldCharType="separate"/>
            </w:r>
            <w:r w:rsidR="008100A0">
              <w:rPr>
                <w:noProof/>
                <w:webHidden/>
              </w:rPr>
              <w:t>31</w:t>
            </w:r>
            <w:r w:rsidR="007611BE">
              <w:rPr>
                <w:noProof/>
                <w:webHidden/>
              </w:rPr>
              <w:fldChar w:fldCharType="end"/>
            </w:r>
          </w:hyperlink>
        </w:p>
        <w:p w14:paraId="2B54BA0F" w14:textId="77777777" w:rsidR="007611BE" w:rsidRDefault="00A53D56">
          <w:pPr>
            <w:pStyle w:val="TOC1"/>
            <w:rPr>
              <w:rFonts w:asciiTheme="minorHAnsi" w:eastAsiaTheme="minorEastAsia" w:hAnsiTheme="minorHAnsi" w:cstheme="minorBidi"/>
              <w:b w:val="0"/>
              <w:smallCaps w:val="0"/>
              <w:noProof/>
              <w:color w:val="auto"/>
            </w:rPr>
          </w:pPr>
          <w:hyperlink w:anchor="_Toc370468075" w:history="1">
            <w:r w:rsidR="007611BE" w:rsidRPr="00D34AC4">
              <w:rPr>
                <w:rStyle w:val="Hyperlink"/>
                <w:noProof/>
              </w:rPr>
              <w:t>Appendix 1 — Australia’s consumer policy framework</w:t>
            </w:r>
            <w:r w:rsidR="007611BE">
              <w:rPr>
                <w:noProof/>
                <w:webHidden/>
              </w:rPr>
              <w:tab/>
            </w:r>
            <w:r w:rsidR="007611BE">
              <w:rPr>
                <w:noProof/>
                <w:webHidden/>
              </w:rPr>
              <w:fldChar w:fldCharType="begin"/>
            </w:r>
            <w:r w:rsidR="007611BE">
              <w:rPr>
                <w:noProof/>
                <w:webHidden/>
              </w:rPr>
              <w:instrText xml:space="preserve"> PAGEREF _Toc370468075 \h </w:instrText>
            </w:r>
            <w:r w:rsidR="007611BE">
              <w:rPr>
                <w:noProof/>
                <w:webHidden/>
              </w:rPr>
            </w:r>
            <w:r w:rsidR="007611BE">
              <w:rPr>
                <w:noProof/>
                <w:webHidden/>
              </w:rPr>
              <w:fldChar w:fldCharType="separate"/>
            </w:r>
            <w:r w:rsidR="008100A0">
              <w:rPr>
                <w:noProof/>
                <w:webHidden/>
              </w:rPr>
              <w:t>34</w:t>
            </w:r>
            <w:r w:rsidR="007611BE">
              <w:rPr>
                <w:noProof/>
                <w:webHidden/>
              </w:rPr>
              <w:fldChar w:fldCharType="end"/>
            </w:r>
          </w:hyperlink>
        </w:p>
        <w:p w14:paraId="2B54BA10" w14:textId="77777777" w:rsidR="007611BE" w:rsidRDefault="00A53D56">
          <w:pPr>
            <w:pStyle w:val="TOC2"/>
            <w:rPr>
              <w:rFonts w:asciiTheme="minorHAnsi" w:eastAsiaTheme="minorEastAsia" w:hAnsiTheme="minorHAnsi" w:cstheme="minorBidi"/>
              <w:noProof/>
              <w:color w:val="auto"/>
              <w:sz w:val="22"/>
              <w:szCs w:val="22"/>
            </w:rPr>
          </w:pPr>
          <w:hyperlink w:anchor="_Toc370468076" w:history="1">
            <w:r w:rsidR="007611BE" w:rsidRPr="00D34AC4">
              <w:rPr>
                <w:rStyle w:val="Hyperlink"/>
                <w:noProof/>
              </w:rPr>
              <w:t>The National Consumer Policy Objective</w:t>
            </w:r>
            <w:r w:rsidR="007611BE">
              <w:rPr>
                <w:noProof/>
                <w:webHidden/>
              </w:rPr>
              <w:tab/>
            </w:r>
            <w:r w:rsidR="007611BE">
              <w:rPr>
                <w:noProof/>
                <w:webHidden/>
              </w:rPr>
              <w:fldChar w:fldCharType="begin"/>
            </w:r>
            <w:r w:rsidR="007611BE">
              <w:rPr>
                <w:noProof/>
                <w:webHidden/>
              </w:rPr>
              <w:instrText xml:space="preserve"> PAGEREF _Toc370468076 \h </w:instrText>
            </w:r>
            <w:r w:rsidR="007611BE">
              <w:rPr>
                <w:noProof/>
                <w:webHidden/>
              </w:rPr>
            </w:r>
            <w:r w:rsidR="007611BE">
              <w:rPr>
                <w:noProof/>
                <w:webHidden/>
              </w:rPr>
              <w:fldChar w:fldCharType="separate"/>
            </w:r>
            <w:r w:rsidR="008100A0">
              <w:rPr>
                <w:noProof/>
                <w:webHidden/>
              </w:rPr>
              <w:t>34</w:t>
            </w:r>
            <w:r w:rsidR="007611BE">
              <w:rPr>
                <w:noProof/>
                <w:webHidden/>
              </w:rPr>
              <w:fldChar w:fldCharType="end"/>
            </w:r>
          </w:hyperlink>
        </w:p>
        <w:p w14:paraId="2B54BA11" w14:textId="77777777" w:rsidR="007611BE" w:rsidRDefault="00A53D56">
          <w:pPr>
            <w:pStyle w:val="TOC3"/>
            <w:rPr>
              <w:rFonts w:asciiTheme="minorHAnsi" w:eastAsiaTheme="minorEastAsia" w:hAnsiTheme="minorHAnsi" w:cstheme="minorBidi"/>
              <w:noProof/>
              <w:color w:val="auto"/>
              <w:sz w:val="22"/>
              <w:szCs w:val="22"/>
            </w:rPr>
          </w:pPr>
          <w:hyperlink w:anchor="_Toc370468077" w:history="1">
            <w:r w:rsidR="007611BE" w:rsidRPr="00D34AC4">
              <w:rPr>
                <w:rStyle w:val="Hyperlink"/>
                <w:noProof/>
              </w:rPr>
              <w:t>Figure 2: Alignment of operational objectives with CAANZ committees</w:t>
            </w:r>
            <w:r w:rsidR="007611BE">
              <w:rPr>
                <w:noProof/>
                <w:webHidden/>
              </w:rPr>
              <w:tab/>
            </w:r>
            <w:r w:rsidR="007611BE">
              <w:rPr>
                <w:noProof/>
                <w:webHidden/>
              </w:rPr>
              <w:fldChar w:fldCharType="begin"/>
            </w:r>
            <w:r w:rsidR="007611BE">
              <w:rPr>
                <w:noProof/>
                <w:webHidden/>
              </w:rPr>
              <w:instrText xml:space="preserve"> PAGEREF _Toc370468077 \h </w:instrText>
            </w:r>
            <w:r w:rsidR="007611BE">
              <w:rPr>
                <w:noProof/>
                <w:webHidden/>
              </w:rPr>
            </w:r>
            <w:r w:rsidR="007611BE">
              <w:rPr>
                <w:noProof/>
                <w:webHidden/>
              </w:rPr>
              <w:fldChar w:fldCharType="separate"/>
            </w:r>
            <w:r w:rsidR="008100A0">
              <w:rPr>
                <w:noProof/>
                <w:webHidden/>
              </w:rPr>
              <w:t>35</w:t>
            </w:r>
            <w:r w:rsidR="007611BE">
              <w:rPr>
                <w:noProof/>
                <w:webHidden/>
              </w:rPr>
              <w:fldChar w:fldCharType="end"/>
            </w:r>
          </w:hyperlink>
        </w:p>
        <w:p w14:paraId="2B54BA12" w14:textId="77777777" w:rsidR="007611BE" w:rsidRDefault="00A53D56">
          <w:pPr>
            <w:pStyle w:val="TOC2"/>
            <w:rPr>
              <w:rFonts w:asciiTheme="minorHAnsi" w:eastAsiaTheme="minorEastAsia" w:hAnsiTheme="minorHAnsi" w:cstheme="minorBidi"/>
              <w:noProof/>
              <w:color w:val="auto"/>
              <w:sz w:val="22"/>
              <w:szCs w:val="22"/>
            </w:rPr>
          </w:pPr>
          <w:hyperlink w:anchor="_Toc370468078" w:history="1">
            <w:r w:rsidR="007611BE" w:rsidRPr="00D34AC4">
              <w:rPr>
                <w:rStyle w:val="Hyperlink"/>
                <w:noProof/>
              </w:rPr>
              <w:t>Intergovernmental Agreement for the Australian Consumer Law</w:t>
            </w:r>
            <w:r w:rsidR="007611BE">
              <w:rPr>
                <w:noProof/>
                <w:webHidden/>
              </w:rPr>
              <w:tab/>
            </w:r>
            <w:r w:rsidR="007611BE">
              <w:rPr>
                <w:noProof/>
                <w:webHidden/>
              </w:rPr>
              <w:fldChar w:fldCharType="begin"/>
            </w:r>
            <w:r w:rsidR="007611BE">
              <w:rPr>
                <w:noProof/>
                <w:webHidden/>
              </w:rPr>
              <w:instrText xml:space="preserve"> PAGEREF _Toc370468078 \h </w:instrText>
            </w:r>
            <w:r w:rsidR="007611BE">
              <w:rPr>
                <w:noProof/>
                <w:webHidden/>
              </w:rPr>
            </w:r>
            <w:r w:rsidR="007611BE">
              <w:rPr>
                <w:noProof/>
                <w:webHidden/>
              </w:rPr>
              <w:fldChar w:fldCharType="separate"/>
            </w:r>
            <w:r w:rsidR="008100A0">
              <w:rPr>
                <w:noProof/>
                <w:webHidden/>
              </w:rPr>
              <w:t>36</w:t>
            </w:r>
            <w:r w:rsidR="007611BE">
              <w:rPr>
                <w:noProof/>
                <w:webHidden/>
              </w:rPr>
              <w:fldChar w:fldCharType="end"/>
            </w:r>
          </w:hyperlink>
        </w:p>
        <w:p w14:paraId="2B54BA13" w14:textId="77777777" w:rsidR="007611BE" w:rsidRDefault="00A53D56">
          <w:pPr>
            <w:pStyle w:val="TOC3"/>
            <w:rPr>
              <w:rFonts w:asciiTheme="minorHAnsi" w:eastAsiaTheme="minorEastAsia" w:hAnsiTheme="minorHAnsi" w:cstheme="minorBidi"/>
              <w:noProof/>
              <w:color w:val="auto"/>
              <w:sz w:val="22"/>
              <w:szCs w:val="22"/>
            </w:rPr>
          </w:pPr>
          <w:hyperlink w:anchor="_Toc370468079" w:history="1">
            <w:r w:rsidR="007611BE" w:rsidRPr="00D34AC4">
              <w:rPr>
                <w:rStyle w:val="Hyperlink"/>
                <w:noProof/>
              </w:rPr>
              <w:t>Review of the ACL</w:t>
            </w:r>
            <w:r w:rsidR="007611BE">
              <w:rPr>
                <w:noProof/>
                <w:webHidden/>
              </w:rPr>
              <w:tab/>
            </w:r>
            <w:r w:rsidR="007611BE">
              <w:rPr>
                <w:noProof/>
                <w:webHidden/>
              </w:rPr>
              <w:fldChar w:fldCharType="begin"/>
            </w:r>
            <w:r w:rsidR="007611BE">
              <w:rPr>
                <w:noProof/>
                <w:webHidden/>
              </w:rPr>
              <w:instrText xml:space="preserve"> PAGEREF _Toc370468079 \h </w:instrText>
            </w:r>
            <w:r w:rsidR="007611BE">
              <w:rPr>
                <w:noProof/>
                <w:webHidden/>
              </w:rPr>
            </w:r>
            <w:r w:rsidR="007611BE">
              <w:rPr>
                <w:noProof/>
                <w:webHidden/>
              </w:rPr>
              <w:fldChar w:fldCharType="separate"/>
            </w:r>
            <w:r w:rsidR="008100A0">
              <w:rPr>
                <w:noProof/>
                <w:webHidden/>
              </w:rPr>
              <w:t>36</w:t>
            </w:r>
            <w:r w:rsidR="007611BE">
              <w:rPr>
                <w:noProof/>
                <w:webHidden/>
              </w:rPr>
              <w:fldChar w:fldCharType="end"/>
            </w:r>
          </w:hyperlink>
        </w:p>
        <w:p w14:paraId="2B54BA14" w14:textId="77777777" w:rsidR="007611BE" w:rsidRDefault="00A53D56">
          <w:pPr>
            <w:pStyle w:val="TOC2"/>
            <w:rPr>
              <w:rFonts w:asciiTheme="minorHAnsi" w:eastAsiaTheme="minorEastAsia" w:hAnsiTheme="minorHAnsi" w:cstheme="minorBidi"/>
              <w:noProof/>
              <w:color w:val="auto"/>
              <w:sz w:val="22"/>
              <w:szCs w:val="22"/>
            </w:rPr>
          </w:pPr>
          <w:hyperlink w:anchor="_Toc370468080" w:history="1">
            <w:r w:rsidR="007611BE" w:rsidRPr="00D34AC4">
              <w:rPr>
                <w:rStyle w:val="Hyperlink"/>
                <w:noProof/>
              </w:rPr>
              <w:t>Australia’s consumer agencies</w:t>
            </w:r>
            <w:r w:rsidR="007611BE">
              <w:rPr>
                <w:noProof/>
                <w:webHidden/>
              </w:rPr>
              <w:tab/>
            </w:r>
            <w:r w:rsidR="007611BE">
              <w:rPr>
                <w:noProof/>
                <w:webHidden/>
              </w:rPr>
              <w:fldChar w:fldCharType="begin"/>
            </w:r>
            <w:r w:rsidR="007611BE">
              <w:rPr>
                <w:noProof/>
                <w:webHidden/>
              </w:rPr>
              <w:instrText xml:space="preserve"> PAGEREF _Toc370468080 \h </w:instrText>
            </w:r>
            <w:r w:rsidR="007611BE">
              <w:rPr>
                <w:noProof/>
                <w:webHidden/>
              </w:rPr>
            </w:r>
            <w:r w:rsidR="007611BE">
              <w:rPr>
                <w:noProof/>
                <w:webHidden/>
              </w:rPr>
              <w:fldChar w:fldCharType="separate"/>
            </w:r>
            <w:r w:rsidR="008100A0">
              <w:rPr>
                <w:noProof/>
                <w:webHidden/>
              </w:rPr>
              <w:t>37</w:t>
            </w:r>
            <w:r w:rsidR="007611BE">
              <w:rPr>
                <w:noProof/>
                <w:webHidden/>
              </w:rPr>
              <w:fldChar w:fldCharType="end"/>
            </w:r>
          </w:hyperlink>
        </w:p>
        <w:p w14:paraId="2B54BA15" w14:textId="77777777" w:rsidR="007611BE" w:rsidRDefault="00A53D56">
          <w:pPr>
            <w:pStyle w:val="TOC3"/>
            <w:rPr>
              <w:rFonts w:asciiTheme="minorHAnsi" w:eastAsiaTheme="minorEastAsia" w:hAnsiTheme="minorHAnsi" w:cstheme="minorBidi"/>
              <w:noProof/>
              <w:color w:val="auto"/>
              <w:sz w:val="22"/>
              <w:szCs w:val="22"/>
            </w:rPr>
          </w:pPr>
          <w:hyperlink w:anchor="_Toc370468081" w:history="1">
            <w:r w:rsidR="007611BE" w:rsidRPr="00D34AC4">
              <w:rPr>
                <w:rStyle w:val="Hyperlink"/>
                <w:noProof/>
              </w:rPr>
              <w:t>The ACL Memorandum of Understanding</w:t>
            </w:r>
            <w:r w:rsidR="007611BE">
              <w:rPr>
                <w:noProof/>
                <w:webHidden/>
              </w:rPr>
              <w:tab/>
            </w:r>
            <w:r w:rsidR="007611BE">
              <w:rPr>
                <w:noProof/>
                <w:webHidden/>
              </w:rPr>
              <w:fldChar w:fldCharType="begin"/>
            </w:r>
            <w:r w:rsidR="007611BE">
              <w:rPr>
                <w:noProof/>
                <w:webHidden/>
              </w:rPr>
              <w:instrText xml:space="preserve"> PAGEREF _Toc370468081 \h </w:instrText>
            </w:r>
            <w:r w:rsidR="007611BE">
              <w:rPr>
                <w:noProof/>
                <w:webHidden/>
              </w:rPr>
            </w:r>
            <w:r w:rsidR="007611BE">
              <w:rPr>
                <w:noProof/>
                <w:webHidden/>
              </w:rPr>
              <w:fldChar w:fldCharType="separate"/>
            </w:r>
            <w:r w:rsidR="008100A0">
              <w:rPr>
                <w:noProof/>
                <w:webHidden/>
              </w:rPr>
              <w:t>37</w:t>
            </w:r>
            <w:r w:rsidR="007611BE">
              <w:rPr>
                <w:noProof/>
                <w:webHidden/>
              </w:rPr>
              <w:fldChar w:fldCharType="end"/>
            </w:r>
          </w:hyperlink>
        </w:p>
        <w:p w14:paraId="2B54BA16" w14:textId="77777777" w:rsidR="00041103" w:rsidRDefault="00041103">
          <w:r>
            <w:rPr>
              <w:b/>
              <w:bCs/>
              <w:noProof/>
            </w:rPr>
            <w:fldChar w:fldCharType="end"/>
          </w:r>
        </w:p>
      </w:sdtContent>
    </w:sdt>
    <w:p w14:paraId="2B54BA17" w14:textId="77777777" w:rsidR="00041103" w:rsidRDefault="00041103">
      <w:pPr>
        <w:spacing w:after="0" w:line="240" w:lineRule="auto"/>
      </w:pPr>
    </w:p>
    <w:p w14:paraId="31C1D849" w14:textId="77777777" w:rsidR="00CF34FE" w:rsidRDefault="00CF34FE">
      <w:pPr>
        <w:spacing w:after="0" w:line="240" w:lineRule="auto"/>
        <w:sectPr w:rsidR="00CF34FE" w:rsidSect="003D4893">
          <w:headerReference w:type="first" r:id="rId23"/>
          <w:footerReference w:type="first" r:id="rId24"/>
          <w:pgSz w:w="11906" w:h="16838" w:code="9"/>
          <w:pgMar w:top="1418" w:right="1418" w:bottom="1418" w:left="1418" w:header="709" w:footer="709" w:gutter="0"/>
          <w:pgNumType w:fmt="lowerRoman"/>
          <w:cols w:space="708"/>
          <w:titlePg/>
          <w:docGrid w:linePitch="360"/>
        </w:sectPr>
      </w:pPr>
    </w:p>
    <w:p w14:paraId="2B54BA19" w14:textId="77777777" w:rsidR="00C80E4D" w:rsidRDefault="00C80E4D" w:rsidP="003D4893">
      <w:pPr>
        <w:pStyle w:val="Heading1"/>
        <w:spacing w:before="0"/>
      </w:pPr>
      <w:bookmarkStart w:id="1" w:name="_Toc370468040"/>
      <w:r>
        <w:lastRenderedPageBreak/>
        <w:t xml:space="preserve">Letter to the Chair of CAF, </w:t>
      </w:r>
      <w:r>
        <w:br/>
      </w:r>
      <w:r w:rsidRPr="002D0836">
        <w:t xml:space="preserve">The Hon Jarrod </w:t>
      </w:r>
      <w:proofErr w:type="spellStart"/>
      <w:r w:rsidRPr="002D0836">
        <w:t>Bleijie</w:t>
      </w:r>
      <w:proofErr w:type="spellEnd"/>
      <w:r w:rsidRPr="002D0836">
        <w:t xml:space="preserve"> MP</w:t>
      </w:r>
      <w:bookmarkEnd w:id="1"/>
    </w:p>
    <w:p w14:paraId="2B54BA1A" w14:textId="080654BC" w:rsidR="00C80E4D" w:rsidRPr="00075584" w:rsidRDefault="00C80E4D" w:rsidP="00C80E4D">
      <w:pPr>
        <w:pStyle w:val="SingleParagraph"/>
      </w:pPr>
      <w:r w:rsidRPr="002D0836">
        <w:t xml:space="preserve">The Hon </w:t>
      </w:r>
      <w:r>
        <w:t xml:space="preserve">Jarrod </w:t>
      </w:r>
      <w:proofErr w:type="spellStart"/>
      <w:r>
        <w:t>Bleijie</w:t>
      </w:r>
      <w:proofErr w:type="spellEnd"/>
      <w:r w:rsidRPr="002D0836">
        <w:t xml:space="preserve"> MP</w:t>
      </w:r>
      <w:r w:rsidRPr="00075584">
        <w:br/>
        <w:t>Chair</w:t>
      </w:r>
      <w:r>
        <w:t>, COAG Legislative and Governance Forum on Consumer Affairs</w:t>
      </w:r>
      <w:r w:rsidRPr="00075584">
        <w:br/>
        <w:t>c/</w:t>
      </w:r>
      <w:r w:rsidR="00455542">
        <w:noBreakHyphen/>
      </w:r>
      <w:r w:rsidRPr="00075584">
        <w:t xml:space="preserve"> </w:t>
      </w:r>
      <w:r>
        <w:t>CAF</w:t>
      </w:r>
      <w:r w:rsidRPr="00075584">
        <w:t xml:space="preserve"> Secretariat</w:t>
      </w:r>
      <w:r w:rsidRPr="00075584">
        <w:br/>
      </w:r>
      <w:proofErr w:type="gramStart"/>
      <w:r w:rsidRPr="00075584">
        <w:t>The</w:t>
      </w:r>
      <w:proofErr w:type="gramEnd"/>
      <w:r w:rsidRPr="00075584">
        <w:t xml:space="preserve"> Treasury</w:t>
      </w:r>
      <w:r w:rsidRPr="00075584">
        <w:br/>
        <w:t>Langton Crescent</w:t>
      </w:r>
      <w:r w:rsidRPr="00075584">
        <w:br/>
        <w:t>PARKES ACT 2600</w:t>
      </w:r>
    </w:p>
    <w:p w14:paraId="2B54BA1B" w14:textId="77777777" w:rsidR="00C80E4D" w:rsidRPr="009C6840" w:rsidRDefault="005A4357">
      <w:pPr>
        <w:jc w:val="right"/>
      </w:pPr>
      <w:r>
        <w:t>Novembe</w:t>
      </w:r>
      <w:r w:rsidRPr="009C6840">
        <w:t xml:space="preserve">r </w:t>
      </w:r>
      <w:r w:rsidR="00C80E4D" w:rsidRPr="009C6840">
        <w:t>2013</w:t>
      </w:r>
    </w:p>
    <w:p w14:paraId="2B54BA1C" w14:textId="77777777" w:rsidR="00C80E4D" w:rsidRDefault="00C80E4D" w:rsidP="00C80E4D">
      <w:r w:rsidRPr="00680AB2">
        <w:t>Dear Minister</w:t>
      </w:r>
    </w:p>
    <w:p w14:paraId="2B54BA1D" w14:textId="6624D81F" w:rsidR="00546A9E" w:rsidRDefault="00C80E4D" w:rsidP="00C80E4D">
      <w:r>
        <w:t>The Australian Consumer Law (ACL) was introduced on 1 January 2011 and this third report on progress</w:t>
      </w:r>
      <w:r w:rsidRPr="00680AB2">
        <w:t xml:space="preserve"> provides an update</w:t>
      </w:r>
      <w:r>
        <w:t xml:space="preserve"> on its ongoing implementation</w:t>
      </w:r>
      <w:r w:rsidR="008B2A66">
        <w:t>.</w:t>
      </w:r>
      <w:r w:rsidR="00546A9E">
        <w:t xml:space="preserve"> </w:t>
      </w:r>
      <w:r w:rsidR="008B2A66">
        <w:t>It highlights</w:t>
      </w:r>
      <w:r w:rsidR="00546A9E">
        <w:t xml:space="preserve"> the work that Australia’s consumer agencies have undertaken to more closely integrate compliance, enforcement and education operations</w:t>
      </w:r>
      <w:r w:rsidR="00455542">
        <w:t xml:space="preserve">. </w:t>
      </w:r>
    </w:p>
    <w:p w14:paraId="2B54BA1E" w14:textId="0A2AFD41" w:rsidR="00546A9E" w:rsidRDefault="00546A9E" w:rsidP="00546A9E">
      <w:pPr>
        <w:rPr>
          <w:lang w:val="en"/>
        </w:rPr>
      </w:pPr>
      <w:r>
        <w:t>In 2012</w:t>
      </w:r>
      <w:r w:rsidR="00455542">
        <w:noBreakHyphen/>
      </w:r>
      <w:r>
        <w:t xml:space="preserve">13, </w:t>
      </w:r>
      <w:r w:rsidRPr="001925F0">
        <w:t xml:space="preserve">a key focus for </w:t>
      </w:r>
      <w:r>
        <w:t xml:space="preserve">consumer </w:t>
      </w:r>
      <w:r w:rsidRPr="001925F0">
        <w:t>agencies has been to</w:t>
      </w:r>
      <w:r w:rsidRPr="001925F0">
        <w:rPr>
          <w:lang w:val="en"/>
        </w:rPr>
        <w:t xml:space="preserve"> </w:t>
      </w:r>
      <w:r>
        <w:rPr>
          <w:lang w:val="en"/>
        </w:rPr>
        <w:t>continue efforts to</w:t>
      </w:r>
      <w:r>
        <w:t xml:space="preserve"> strengthen and consolidate </w:t>
      </w:r>
      <w:r>
        <w:rPr>
          <w:lang w:val="en"/>
        </w:rPr>
        <w:t>t</w:t>
      </w:r>
      <w:r w:rsidRPr="001925F0">
        <w:t>he collaborative leadership model for the ACL</w:t>
      </w:r>
      <w:r w:rsidR="00455542">
        <w:t xml:space="preserve">. </w:t>
      </w:r>
      <w:r w:rsidR="001E2C18">
        <w:t>By working together, Australia’s consumer agencies</w:t>
      </w:r>
      <w:r w:rsidR="008B2A66">
        <w:t xml:space="preserve"> seek </w:t>
      </w:r>
      <w:r>
        <w:t>to ensure that consumers across Australia have access to uniform protection from unfair trade practice</w:t>
      </w:r>
      <w:r w:rsidR="001E2C18">
        <w:t>s</w:t>
      </w:r>
      <w:r>
        <w:rPr>
          <w:lang w:val="en"/>
        </w:rPr>
        <w:t xml:space="preserve"> through the </w:t>
      </w:r>
      <w:r w:rsidRPr="001925F0">
        <w:rPr>
          <w:lang w:val="en"/>
        </w:rPr>
        <w:t>multi</w:t>
      </w:r>
      <w:r w:rsidR="00455542">
        <w:rPr>
          <w:lang w:val="en"/>
        </w:rPr>
        <w:noBreakHyphen/>
      </w:r>
      <w:r w:rsidRPr="001925F0">
        <w:rPr>
          <w:lang w:val="en"/>
        </w:rPr>
        <w:t xml:space="preserve">regulator model of the ACL. </w:t>
      </w:r>
    </w:p>
    <w:p w14:paraId="2B54BA1F" w14:textId="77777777" w:rsidR="00546A9E" w:rsidRPr="009C6840" w:rsidRDefault="00546A9E" w:rsidP="00546A9E">
      <w:pPr>
        <w:rPr>
          <w:lang w:val="en"/>
        </w:rPr>
      </w:pPr>
      <w:r w:rsidRPr="001925F0">
        <w:t xml:space="preserve">Commonwealth, state and territory officials have worked collaboratively on a range of initiatives </w:t>
      </w:r>
      <w:r>
        <w:t>through Consumer Affairs Australia and New Zealand</w:t>
      </w:r>
      <w:r w:rsidR="005A4357">
        <w:t xml:space="preserve"> (CAANZ)</w:t>
      </w:r>
      <w:r>
        <w:t xml:space="preserve"> and its advisory committee</w:t>
      </w:r>
      <w:r w:rsidRPr="001925F0">
        <w:t>s. This work includes:</w:t>
      </w:r>
    </w:p>
    <w:p w14:paraId="2B54BA20" w14:textId="77777777" w:rsidR="00546A9E" w:rsidRPr="001925F0" w:rsidRDefault="00546A9E" w:rsidP="00546A9E">
      <w:pPr>
        <w:pStyle w:val="Bullet"/>
        <w:spacing w:after="120"/>
        <w:ind w:left="522" w:hanging="522"/>
      </w:pPr>
      <w:r>
        <w:t>a continuation of efforts to implement and transition to the ACL including the progression of key policy and research initiatives such as amendments to the component pricing provision and travel services reform</w:t>
      </w:r>
      <w:r w:rsidRPr="001925F0">
        <w:t>;</w:t>
      </w:r>
    </w:p>
    <w:p w14:paraId="2B54BA21" w14:textId="77777777" w:rsidR="00546A9E" w:rsidRDefault="00546A9E" w:rsidP="009C6840">
      <w:pPr>
        <w:pStyle w:val="Bullet"/>
        <w:spacing w:after="120"/>
        <w:ind w:left="522" w:hanging="522"/>
      </w:pPr>
      <w:r>
        <w:t>communication and education activities to disseminate information to Australian consumers and businesses about their rights and obligations under the ACL, including to culturally and linguistically diverse communities;</w:t>
      </w:r>
    </w:p>
    <w:p w14:paraId="2B54BA22" w14:textId="439529DF" w:rsidR="00546A9E" w:rsidRDefault="00546A9E" w:rsidP="009C6840">
      <w:pPr>
        <w:pStyle w:val="Bullet"/>
        <w:spacing w:after="120"/>
        <w:ind w:left="522" w:hanging="522"/>
      </w:pPr>
      <w:r>
        <w:t>closer integration of compliance and enforcement operations thr</w:t>
      </w:r>
      <w:r w:rsidR="00590B79">
        <w:t>ough national efforts towards an Australia</w:t>
      </w:r>
      <w:r w:rsidR="00455542">
        <w:noBreakHyphen/>
      </w:r>
      <w:r w:rsidR="00590B79">
        <w:t>wide complaint reporting and resolution program; and</w:t>
      </w:r>
    </w:p>
    <w:p w14:paraId="2B54BA23" w14:textId="77777777" w:rsidR="00590B79" w:rsidRDefault="00590B79" w:rsidP="009C6840">
      <w:pPr>
        <w:pStyle w:val="Bullet"/>
        <w:spacing w:after="120"/>
        <w:ind w:left="522" w:hanging="522"/>
      </w:pPr>
      <w:proofErr w:type="gramStart"/>
      <w:r>
        <w:t>the</w:t>
      </w:r>
      <w:proofErr w:type="gramEnd"/>
      <w:r>
        <w:t xml:space="preserve"> coordination of national strategies to reduce the risk of product related injury and death.</w:t>
      </w:r>
    </w:p>
    <w:p w14:paraId="2B54BA24" w14:textId="03B44210" w:rsidR="002663BE" w:rsidRDefault="001E2C18" w:rsidP="002663BE">
      <w:pPr>
        <w:pStyle w:val="Bullet"/>
        <w:numPr>
          <w:ilvl w:val="0"/>
          <w:numId w:val="0"/>
        </w:numPr>
        <w:spacing w:before="120" w:after="120" w:line="240" w:lineRule="auto"/>
      </w:pPr>
      <w:r>
        <w:rPr>
          <w:noProof/>
        </w:rPr>
        <w:drawing>
          <wp:anchor distT="0" distB="0" distL="114300" distR="114300" simplePos="0" relativeHeight="251658240" behindDoc="0" locked="0" layoutInCell="1" allowOverlap="1" wp14:anchorId="2B54BC29" wp14:editId="65823FBF">
            <wp:simplePos x="0" y="0"/>
            <wp:positionH relativeFrom="column">
              <wp:posOffset>-5080</wp:posOffset>
            </wp:positionH>
            <wp:positionV relativeFrom="paragraph">
              <wp:posOffset>697865</wp:posOffset>
            </wp:positionV>
            <wp:extent cx="2514600" cy="657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E4D">
        <w:t>This report includes a number of</w:t>
      </w:r>
      <w:r w:rsidR="000758ED">
        <w:t xml:space="preserve"> illustrative</w:t>
      </w:r>
      <w:r w:rsidR="00C80E4D">
        <w:t xml:space="preserve"> case studies that highlight the coordinated policy development, education and enforcement initiatives of Australia</w:t>
      </w:r>
      <w:r w:rsidR="009C7099">
        <w:t>’s</w:t>
      </w:r>
      <w:r w:rsidR="00C80E4D">
        <w:t xml:space="preserve"> consumer agencies </w:t>
      </w:r>
      <w:r w:rsidR="00876310">
        <w:t>from</w:t>
      </w:r>
      <w:r w:rsidR="00C80E4D">
        <w:t xml:space="preserve"> 1 July 2012 </w:t>
      </w:r>
      <w:r w:rsidR="00876310">
        <w:t>to</w:t>
      </w:r>
      <w:r w:rsidR="00C80E4D">
        <w:t xml:space="preserve"> 30 June 201</w:t>
      </w:r>
      <w:r w:rsidR="00876310">
        <w:t>3</w:t>
      </w:r>
      <w:r w:rsidR="00455542">
        <w:t xml:space="preserve">. </w:t>
      </w:r>
      <w:r w:rsidR="0023333A">
        <w:t>I am pleased to provide this report on behalf of CAANZ.</w:t>
      </w:r>
      <w:r>
        <w:br/>
      </w:r>
    </w:p>
    <w:p w14:paraId="2B54BA25" w14:textId="77777777" w:rsidR="002663BE" w:rsidRDefault="002663BE" w:rsidP="002663BE">
      <w:pPr>
        <w:pStyle w:val="Bullet"/>
        <w:numPr>
          <w:ilvl w:val="0"/>
          <w:numId w:val="0"/>
        </w:numPr>
        <w:spacing w:before="120" w:after="120" w:line="240" w:lineRule="auto"/>
      </w:pPr>
    </w:p>
    <w:p w14:paraId="2B54BA26" w14:textId="77777777" w:rsidR="00C80E4D" w:rsidRDefault="002663BE" w:rsidP="002663BE">
      <w:pPr>
        <w:pStyle w:val="Bullet"/>
        <w:numPr>
          <w:ilvl w:val="0"/>
          <w:numId w:val="0"/>
        </w:numPr>
        <w:spacing w:before="120" w:after="120" w:line="240" w:lineRule="auto"/>
        <w:rPr>
          <w:b/>
          <w:sz w:val="20"/>
        </w:rPr>
      </w:pPr>
      <w:r>
        <w:rPr>
          <w:b/>
          <w:szCs w:val="22"/>
        </w:rPr>
        <w:br/>
      </w:r>
      <w:r w:rsidR="001E2C18">
        <w:rPr>
          <w:b/>
          <w:szCs w:val="22"/>
        </w:rPr>
        <w:br/>
      </w:r>
      <w:r>
        <w:rPr>
          <w:b/>
          <w:szCs w:val="22"/>
        </w:rPr>
        <w:t>David Ford</w:t>
      </w:r>
      <w:r w:rsidR="00C80E4D" w:rsidRPr="009C6840">
        <w:rPr>
          <w:b/>
          <w:szCs w:val="22"/>
        </w:rPr>
        <w:br/>
        <w:t>Chair, Consumer Affairs Australia and New Zealand</w:t>
      </w:r>
      <w:r w:rsidR="00C80E4D">
        <w:rPr>
          <w:b/>
          <w:sz w:val="20"/>
        </w:rPr>
        <w:br w:type="page"/>
      </w:r>
    </w:p>
    <w:tbl>
      <w:tblPr>
        <w:tblStyle w:val="TableGrid"/>
        <w:tblW w:w="0" w:type="auto"/>
        <w:tblLook w:val="04A0" w:firstRow="1" w:lastRow="0" w:firstColumn="1" w:lastColumn="0" w:noHBand="0" w:noVBand="1"/>
      </w:tblPr>
      <w:tblGrid>
        <w:gridCol w:w="9286"/>
      </w:tblGrid>
      <w:tr w:rsidR="00C80E4D" w14:paraId="2B54BA29" w14:textId="77777777" w:rsidTr="00C80E4D">
        <w:tc>
          <w:tcPr>
            <w:tcW w:w="9286" w:type="dxa"/>
          </w:tcPr>
          <w:p w14:paraId="2B54BA27" w14:textId="77777777" w:rsidR="00C80E4D" w:rsidRPr="00C80E4D" w:rsidRDefault="00C80E4D" w:rsidP="00CF34FE">
            <w:pPr>
              <w:pStyle w:val="BoxHeading"/>
            </w:pPr>
            <w:r w:rsidRPr="00C80E4D">
              <w:lastRenderedPageBreak/>
              <w:t>Consumer Affairs Australia and New Zealand (CAANZ)</w:t>
            </w:r>
          </w:p>
          <w:p w14:paraId="2B54BA28" w14:textId="77777777" w:rsidR="00C80E4D" w:rsidRPr="00C80E4D" w:rsidRDefault="00C80E4D" w:rsidP="00CF34FE">
            <w:pPr>
              <w:pStyle w:val="BoxText"/>
            </w:pPr>
            <w:r>
              <w:t>CAANZ is made up of the senior officers responsible for consumer policy and enforcement in the Australian Treasury, the Australian Competition and Consumer Commission and the Australian Securities and Investments Commission, NSW Fair Trading, C</w:t>
            </w:r>
            <w:r w:rsidR="0041213D">
              <w:t>onsumer Affairs Victoria, the QLD</w:t>
            </w:r>
            <w:r>
              <w:t xml:space="preserve"> Office of Fair Trading, </w:t>
            </w:r>
            <w:r w:rsidR="0041213D">
              <w:t>WA</w:t>
            </w:r>
            <w:r>
              <w:t xml:space="preserve"> Department of Commerce, SA Consumer and Business Services, T</w:t>
            </w:r>
            <w:r w:rsidR="0041213D">
              <w:t>AS</w:t>
            </w:r>
            <w:r>
              <w:t xml:space="preserve"> Office of Consumer Affairs and Fair Trading, the ACT Office of Regulatory Services, NT Consumer Affairs and the </w:t>
            </w:r>
            <w:r w:rsidRPr="00E92463">
              <w:t>New Zealand Ministry of Business, Innovation and Employment</w:t>
            </w:r>
            <w:r>
              <w:t>.</w:t>
            </w:r>
          </w:p>
        </w:tc>
      </w:tr>
    </w:tbl>
    <w:p w14:paraId="2B54BA2A" w14:textId="77777777" w:rsidR="00A67451" w:rsidRDefault="00A67451" w:rsidP="00C80E4D">
      <w:pPr>
        <w:rPr>
          <w:b/>
        </w:rPr>
      </w:pPr>
    </w:p>
    <w:p w14:paraId="024611F7" w14:textId="77777777" w:rsidR="00CF34FE" w:rsidRDefault="00CF34FE">
      <w:pPr>
        <w:spacing w:after="0" w:line="240" w:lineRule="auto"/>
        <w:rPr>
          <w:b/>
        </w:rPr>
        <w:sectPr w:rsidR="00CF34FE" w:rsidSect="003D4893">
          <w:headerReference w:type="first" r:id="rId26"/>
          <w:footerReference w:type="first" r:id="rId27"/>
          <w:pgSz w:w="11906" w:h="16838" w:code="9"/>
          <w:pgMar w:top="1418" w:right="1418" w:bottom="1418" w:left="1418" w:header="709" w:footer="709" w:gutter="0"/>
          <w:pgNumType w:fmt="lowerRoman"/>
          <w:cols w:space="708"/>
          <w:titlePg/>
          <w:docGrid w:linePitch="360"/>
        </w:sectPr>
      </w:pPr>
    </w:p>
    <w:p w14:paraId="2B54BA2C" w14:textId="77777777" w:rsidR="00A67451" w:rsidRPr="00144CBD" w:rsidRDefault="00A67451" w:rsidP="00A67451">
      <w:pPr>
        <w:pStyle w:val="Heading1"/>
      </w:pPr>
      <w:bookmarkStart w:id="2" w:name="_Toc342299158"/>
      <w:bookmarkStart w:id="3" w:name="_Toc342299501"/>
      <w:bookmarkStart w:id="4" w:name="_Toc342381469"/>
      <w:bookmarkStart w:id="5" w:name="_Toc370468041"/>
      <w:r>
        <w:lastRenderedPageBreak/>
        <w:t>Gl</w:t>
      </w:r>
      <w:r w:rsidRPr="00144CBD">
        <w:t>ossary of terms</w:t>
      </w:r>
      <w:bookmarkEnd w:id="2"/>
      <w:bookmarkEnd w:id="3"/>
      <w:bookmarkEnd w:id="4"/>
      <w:bookmarkEnd w:id="5"/>
    </w:p>
    <w:tbl>
      <w:tblPr>
        <w:tblW w:w="5000" w:type="pct"/>
        <w:tblLook w:val="01E0" w:firstRow="1" w:lastRow="1" w:firstColumn="1" w:lastColumn="1" w:noHBand="0" w:noVBand="0"/>
      </w:tblPr>
      <w:tblGrid>
        <w:gridCol w:w="1632"/>
        <w:gridCol w:w="7654"/>
      </w:tblGrid>
      <w:tr w:rsidR="00A67451" w:rsidRPr="00144CBD" w14:paraId="2B54BA2F" w14:textId="77777777" w:rsidTr="00D13B49">
        <w:tc>
          <w:tcPr>
            <w:tcW w:w="879" w:type="pct"/>
          </w:tcPr>
          <w:p w14:paraId="2B54BA2D" w14:textId="77777777" w:rsidR="00A67451" w:rsidRDefault="00A67451" w:rsidP="00D13B49">
            <w:pPr>
              <w:jc w:val="both"/>
            </w:pPr>
            <w:bookmarkStart w:id="6" w:name="OLE_LINK1"/>
            <w:bookmarkStart w:id="7" w:name="OLE_LINK2"/>
            <w:r>
              <w:t>ACCC</w:t>
            </w:r>
          </w:p>
        </w:tc>
        <w:tc>
          <w:tcPr>
            <w:tcW w:w="4121" w:type="pct"/>
          </w:tcPr>
          <w:p w14:paraId="2B54BA2E" w14:textId="77777777" w:rsidR="00A67451" w:rsidRDefault="00A67451" w:rsidP="00D13B49">
            <w:pPr>
              <w:jc w:val="both"/>
            </w:pPr>
            <w:r>
              <w:t>Australian Competition and Consumer Commission</w:t>
            </w:r>
          </w:p>
        </w:tc>
      </w:tr>
      <w:tr w:rsidR="00A67451" w:rsidRPr="00144CBD" w14:paraId="2B54BA32" w14:textId="77777777" w:rsidTr="00D13B49">
        <w:tc>
          <w:tcPr>
            <w:tcW w:w="879" w:type="pct"/>
          </w:tcPr>
          <w:p w14:paraId="2B54BA30" w14:textId="77777777" w:rsidR="00A67451" w:rsidRPr="00144CBD" w:rsidRDefault="00A67451" w:rsidP="00D13B49">
            <w:pPr>
              <w:jc w:val="both"/>
            </w:pPr>
            <w:r w:rsidRPr="00144CBD">
              <w:t>ACL</w:t>
            </w:r>
          </w:p>
        </w:tc>
        <w:tc>
          <w:tcPr>
            <w:tcW w:w="4121" w:type="pct"/>
          </w:tcPr>
          <w:p w14:paraId="2B54BA31" w14:textId="77777777" w:rsidR="00A67451" w:rsidRPr="00144CBD" w:rsidRDefault="00A67451" w:rsidP="00D13B49">
            <w:pPr>
              <w:jc w:val="both"/>
            </w:pPr>
            <w:r w:rsidRPr="00144CBD">
              <w:t>Australian Consumer Law</w:t>
            </w:r>
          </w:p>
        </w:tc>
      </w:tr>
      <w:tr w:rsidR="00A67451" w:rsidRPr="00144CBD" w14:paraId="2B54BA35" w14:textId="77777777" w:rsidTr="00D13B49">
        <w:tc>
          <w:tcPr>
            <w:tcW w:w="879" w:type="pct"/>
          </w:tcPr>
          <w:p w14:paraId="2B54BA33" w14:textId="77777777" w:rsidR="00A67451" w:rsidRPr="00144CBD" w:rsidRDefault="00A67451" w:rsidP="00D13B49">
            <w:pPr>
              <w:jc w:val="both"/>
            </w:pPr>
            <w:r>
              <w:t>ASIC</w:t>
            </w:r>
          </w:p>
        </w:tc>
        <w:tc>
          <w:tcPr>
            <w:tcW w:w="4121" w:type="pct"/>
          </w:tcPr>
          <w:p w14:paraId="2B54BA34" w14:textId="77777777" w:rsidR="00A67451" w:rsidRPr="00144CBD" w:rsidRDefault="00A67451" w:rsidP="00D13B49">
            <w:pPr>
              <w:jc w:val="both"/>
            </w:pPr>
            <w:r>
              <w:t>Australian Securities and Investments Commission</w:t>
            </w:r>
          </w:p>
        </w:tc>
      </w:tr>
      <w:tr w:rsidR="00A67451" w:rsidRPr="00144CBD" w14:paraId="2B54BA38" w14:textId="77777777" w:rsidTr="00D13B49">
        <w:tc>
          <w:tcPr>
            <w:tcW w:w="879" w:type="pct"/>
          </w:tcPr>
          <w:p w14:paraId="2B54BA36" w14:textId="77777777" w:rsidR="00A67451" w:rsidRPr="00144CBD" w:rsidRDefault="00A67451" w:rsidP="00D13B49">
            <w:pPr>
              <w:jc w:val="both"/>
            </w:pPr>
            <w:r w:rsidRPr="00144CBD">
              <w:t>ASIC Act</w:t>
            </w:r>
          </w:p>
        </w:tc>
        <w:tc>
          <w:tcPr>
            <w:tcW w:w="4121" w:type="pct"/>
          </w:tcPr>
          <w:p w14:paraId="2B54BA37" w14:textId="77777777" w:rsidR="00A67451" w:rsidRPr="00144CBD" w:rsidRDefault="00A67451" w:rsidP="00D13B49">
            <w:pPr>
              <w:jc w:val="both"/>
            </w:pPr>
            <w:r w:rsidRPr="00144CBD">
              <w:rPr>
                <w:i/>
              </w:rPr>
              <w:t>Australian Securities and Investments Commission Act 2001</w:t>
            </w:r>
          </w:p>
        </w:tc>
      </w:tr>
      <w:tr w:rsidR="00526224" w:rsidRPr="00144CBD" w14:paraId="2B54BA3B" w14:textId="77777777" w:rsidTr="00D13B49">
        <w:tc>
          <w:tcPr>
            <w:tcW w:w="879" w:type="pct"/>
          </w:tcPr>
          <w:p w14:paraId="2B54BA39" w14:textId="77777777" w:rsidR="00526224" w:rsidRPr="00E2563D" w:rsidRDefault="00526224" w:rsidP="00526224">
            <w:pPr>
              <w:jc w:val="both"/>
            </w:pPr>
            <w:r>
              <w:t>CAANZ</w:t>
            </w:r>
          </w:p>
        </w:tc>
        <w:tc>
          <w:tcPr>
            <w:tcW w:w="4121" w:type="pct"/>
          </w:tcPr>
          <w:p w14:paraId="2B54BA3A" w14:textId="77777777" w:rsidR="00526224" w:rsidRPr="00E2563D" w:rsidRDefault="00526224" w:rsidP="00526224">
            <w:pPr>
              <w:jc w:val="both"/>
            </w:pPr>
            <w:r>
              <w:t>Consumer Affairs Australia and New Zealand</w:t>
            </w:r>
          </w:p>
        </w:tc>
      </w:tr>
      <w:tr w:rsidR="00526224" w:rsidRPr="00144CBD" w14:paraId="2B54BA3E" w14:textId="77777777" w:rsidTr="00D13B49">
        <w:tc>
          <w:tcPr>
            <w:tcW w:w="879" w:type="pct"/>
          </w:tcPr>
          <w:p w14:paraId="2B54BA3C" w14:textId="77777777" w:rsidR="00526224" w:rsidRPr="00144CBD" w:rsidRDefault="00526224" w:rsidP="00D13B49">
            <w:pPr>
              <w:jc w:val="both"/>
            </w:pPr>
            <w:r>
              <w:t>CAF</w:t>
            </w:r>
          </w:p>
        </w:tc>
        <w:tc>
          <w:tcPr>
            <w:tcW w:w="4121" w:type="pct"/>
          </w:tcPr>
          <w:p w14:paraId="2B54BA3D" w14:textId="77777777" w:rsidR="00526224" w:rsidRPr="00144CBD" w:rsidRDefault="00526224" w:rsidP="00D13B49">
            <w:pPr>
              <w:jc w:val="both"/>
            </w:pPr>
            <w:r>
              <w:t>COAG Governance and Legislative Forum on Consumer Affairs</w:t>
            </w:r>
          </w:p>
        </w:tc>
      </w:tr>
      <w:tr w:rsidR="00526224" w:rsidRPr="00144CBD" w14:paraId="2B54BA41" w14:textId="77777777" w:rsidTr="00D13B49">
        <w:tc>
          <w:tcPr>
            <w:tcW w:w="879" w:type="pct"/>
          </w:tcPr>
          <w:p w14:paraId="2B54BA3F" w14:textId="77777777" w:rsidR="00526224" w:rsidRDefault="00526224" w:rsidP="00D13B49">
            <w:pPr>
              <w:jc w:val="both"/>
            </w:pPr>
            <w:r>
              <w:t>CAV</w:t>
            </w:r>
          </w:p>
        </w:tc>
        <w:tc>
          <w:tcPr>
            <w:tcW w:w="4121" w:type="pct"/>
          </w:tcPr>
          <w:p w14:paraId="2B54BA40" w14:textId="77777777" w:rsidR="00526224" w:rsidRPr="0019554A" w:rsidRDefault="00526224" w:rsidP="00D13B49">
            <w:pPr>
              <w:jc w:val="both"/>
            </w:pPr>
            <w:r w:rsidRPr="0019554A">
              <w:t>Consumer Affairs Victoria</w:t>
            </w:r>
          </w:p>
        </w:tc>
      </w:tr>
      <w:tr w:rsidR="00526224" w:rsidRPr="00144CBD" w14:paraId="2B54BA44" w14:textId="77777777" w:rsidTr="00D13B49">
        <w:tc>
          <w:tcPr>
            <w:tcW w:w="879" w:type="pct"/>
          </w:tcPr>
          <w:p w14:paraId="2B54BA42" w14:textId="77777777" w:rsidR="00526224" w:rsidRDefault="00526224" w:rsidP="00D13B49">
            <w:pPr>
              <w:jc w:val="both"/>
            </w:pPr>
            <w:r>
              <w:t>CBS</w:t>
            </w:r>
          </w:p>
        </w:tc>
        <w:tc>
          <w:tcPr>
            <w:tcW w:w="4121" w:type="pct"/>
          </w:tcPr>
          <w:p w14:paraId="2B54BA43" w14:textId="77777777" w:rsidR="00526224" w:rsidRPr="006849DE" w:rsidRDefault="00526224" w:rsidP="00D13B49">
            <w:pPr>
              <w:jc w:val="both"/>
              <w:rPr>
                <w:i/>
              </w:rPr>
            </w:pPr>
            <w:r>
              <w:t>Consumer and Business Services, South Australia</w:t>
            </w:r>
          </w:p>
        </w:tc>
      </w:tr>
      <w:tr w:rsidR="00526224" w:rsidRPr="00144CBD" w14:paraId="2B54BA47" w14:textId="77777777" w:rsidTr="00D13B49">
        <w:tc>
          <w:tcPr>
            <w:tcW w:w="879" w:type="pct"/>
          </w:tcPr>
          <w:p w14:paraId="2B54BA45" w14:textId="77777777" w:rsidR="00526224" w:rsidRPr="00144CBD" w:rsidRDefault="00526224" w:rsidP="00D13B49">
            <w:pPr>
              <w:jc w:val="both"/>
            </w:pPr>
            <w:r>
              <w:t>CCA</w:t>
            </w:r>
          </w:p>
        </w:tc>
        <w:tc>
          <w:tcPr>
            <w:tcW w:w="4121" w:type="pct"/>
          </w:tcPr>
          <w:p w14:paraId="2B54BA46" w14:textId="77777777" w:rsidR="00526224" w:rsidRPr="006849DE" w:rsidRDefault="00526224" w:rsidP="00D13B49">
            <w:pPr>
              <w:jc w:val="both"/>
              <w:rPr>
                <w:i/>
              </w:rPr>
            </w:pPr>
            <w:r w:rsidRPr="006849DE">
              <w:rPr>
                <w:i/>
              </w:rPr>
              <w:t>Competition and Consumer Act 2010</w:t>
            </w:r>
          </w:p>
        </w:tc>
      </w:tr>
      <w:tr w:rsidR="00526224" w:rsidRPr="00144CBD" w14:paraId="2B54BA4A" w14:textId="77777777" w:rsidTr="00D13B49">
        <w:tc>
          <w:tcPr>
            <w:tcW w:w="879" w:type="pct"/>
          </w:tcPr>
          <w:p w14:paraId="2B54BA48" w14:textId="77777777" w:rsidR="00526224" w:rsidRPr="00144CBD" w:rsidRDefault="00526224" w:rsidP="00D13B49">
            <w:pPr>
              <w:jc w:val="both"/>
            </w:pPr>
            <w:r>
              <w:t>CDRAC</w:t>
            </w:r>
          </w:p>
        </w:tc>
        <w:tc>
          <w:tcPr>
            <w:tcW w:w="4121" w:type="pct"/>
          </w:tcPr>
          <w:p w14:paraId="2B54BA49" w14:textId="77777777" w:rsidR="00526224" w:rsidRPr="00144CBD" w:rsidRDefault="00526224" w:rsidP="00D13B49">
            <w:pPr>
              <w:jc w:val="both"/>
            </w:pPr>
            <w:r>
              <w:t>Compliance and Dispute Resolution Advisory Committee</w:t>
            </w:r>
          </w:p>
        </w:tc>
      </w:tr>
      <w:tr w:rsidR="00526224" w:rsidRPr="00144CBD" w14:paraId="2B54BA4D" w14:textId="77777777" w:rsidTr="00D13B49">
        <w:tc>
          <w:tcPr>
            <w:tcW w:w="879" w:type="pct"/>
          </w:tcPr>
          <w:p w14:paraId="2B54BA4B" w14:textId="77777777" w:rsidR="00526224" w:rsidRPr="00144CBD" w:rsidRDefault="00526224" w:rsidP="00D13B49">
            <w:pPr>
              <w:jc w:val="both"/>
            </w:pPr>
            <w:r w:rsidRPr="00144CBD">
              <w:t>COAG</w:t>
            </w:r>
          </w:p>
        </w:tc>
        <w:tc>
          <w:tcPr>
            <w:tcW w:w="4121" w:type="pct"/>
          </w:tcPr>
          <w:p w14:paraId="2B54BA4C" w14:textId="77777777" w:rsidR="00526224" w:rsidRPr="00144CBD" w:rsidRDefault="00526224" w:rsidP="00D13B49">
            <w:pPr>
              <w:jc w:val="both"/>
            </w:pPr>
            <w:r w:rsidRPr="00144CBD">
              <w:t>Council of Australian Governments</w:t>
            </w:r>
          </w:p>
        </w:tc>
      </w:tr>
      <w:tr w:rsidR="00526224" w:rsidRPr="00144CBD" w14:paraId="2B54BA50" w14:textId="77777777" w:rsidTr="00D13B49">
        <w:tc>
          <w:tcPr>
            <w:tcW w:w="879" w:type="pct"/>
          </w:tcPr>
          <w:p w14:paraId="2B54BA4E" w14:textId="77777777" w:rsidR="00526224" w:rsidRPr="00144CBD" w:rsidRDefault="00526224" w:rsidP="00D13B49">
            <w:pPr>
              <w:jc w:val="both"/>
            </w:pPr>
            <w:r>
              <w:t>CPWA</w:t>
            </w:r>
          </w:p>
        </w:tc>
        <w:tc>
          <w:tcPr>
            <w:tcW w:w="4121" w:type="pct"/>
          </w:tcPr>
          <w:p w14:paraId="2B54BA4F" w14:textId="77777777" w:rsidR="00526224" w:rsidRPr="00144CBD" w:rsidRDefault="00526224" w:rsidP="00D13B49">
            <w:pPr>
              <w:jc w:val="both"/>
            </w:pPr>
            <w:r>
              <w:t>Consumer Protection Western Australia</w:t>
            </w:r>
          </w:p>
        </w:tc>
      </w:tr>
      <w:tr w:rsidR="00526224" w:rsidRPr="00144CBD" w14:paraId="2B54BA53" w14:textId="77777777" w:rsidTr="00D13B49">
        <w:tc>
          <w:tcPr>
            <w:tcW w:w="879" w:type="pct"/>
          </w:tcPr>
          <w:p w14:paraId="2B54BA51" w14:textId="77777777" w:rsidR="00526224" w:rsidRDefault="00526224" w:rsidP="00D13B49">
            <w:pPr>
              <w:jc w:val="both"/>
            </w:pPr>
            <w:r>
              <w:t>EIAC</w:t>
            </w:r>
          </w:p>
        </w:tc>
        <w:tc>
          <w:tcPr>
            <w:tcW w:w="4121" w:type="pct"/>
          </w:tcPr>
          <w:p w14:paraId="2B54BA52" w14:textId="77777777" w:rsidR="00526224" w:rsidRDefault="00526224" w:rsidP="00D13B49">
            <w:pPr>
              <w:jc w:val="both"/>
            </w:pPr>
            <w:r>
              <w:t>Education and Information Advisory Committee</w:t>
            </w:r>
          </w:p>
        </w:tc>
      </w:tr>
      <w:tr w:rsidR="00526224" w:rsidRPr="00144CBD" w14:paraId="2B54BA56" w14:textId="77777777" w:rsidTr="00D13B49">
        <w:tc>
          <w:tcPr>
            <w:tcW w:w="879" w:type="pct"/>
          </w:tcPr>
          <w:p w14:paraId="2B54BA54" w14:textId="77777777" w:rsidR="00526224" w:rsidRPr="00144CBD" w:rsidRDefault="00526224" w:rsidP="00D13B49">
            <w:pPr>
              <w:jc w:val="both"/>
            </w:pPr>
            <w:r>
              <w:t>FTOG</w:t>
            </w:r>
          </w:p>
        </w:tc>
        <w:tc>
          <w:tcPr>
            <w:tcW w:w="4121" w:type="pct"/>
          </w:tcPr>
          <w:p w14:paraId="2B54BA55" w14:textId="77777777" w:rsidR="00526224" w:rsidRPr="00144CBD" w:rsidRDefault="00526224" w:rsidP="00D13B49">
            <w:pPr>
              <w:jc w:val="both"/>
            </w:pPr>
            <w:r>
              <w:t>Fair Trading Operations Group (part of CDRAC)</w:t>
            </w:r>
          </w:p>
        </w:tc>
      </w:tr>
      <w:tr w:rsidR="00526224" w:rsidRPr="00144CBD" w14:paraId="2B54BA59" w14:textId="77777777" w:rsidTr="00D13B49">
        <w:tc>
          <w:tcPr>
            <w:tcW w:w="879" w:type="pct"/>
          </w:tcPr>
          <w:p w14:paraId="2B54BA57" w14:textId="77777777" w:rsidR="00526224" w:rsidRPr="00144CBD" w:rsidRDefault="00526224" w:rsidP="00D13B49">
            <w:pPr>
              <w:jc w:val="both"/>
            </w:pPr>
            <w:r w:rsidRPr="00144CBD">
              <w:t>IGA</w:t>
            </w:r>
          </w:p>
        </w:tc>
        <w:tc>
          <w:tcPr>
            <w:tcW w:w="4121" w:type="pct"/>
          </w:tcPr>
          <w:p w14:paraId="2B54BA58" w14:textId="77777777" w:rsidR="00526224" w:rsidRPr="00144CBD" w:rsidRDefault="00526224" w:rsidP="00D13B49">
            <w:pPr>
              <w:jc w:val="both"/>
            </w:pPr>
            <w:r w:rsidRPr="00144CBD">
              <w:rPr>
                <w:i/>
              </w:rPr>
              <w:t xml:space="preserve">Intergovernmental Agreement for </w:t>
            </w:r>
            <w:r>
              <w:rPr>
                <w:i/>
              </w:rPr>
              <w:t>the</w:t>
            </w:r>
            <w:r w:rsidRPr="00144CBD">
              <w:rPr>
                <w:i/>
              </w:rPr>
              <w:t xml:space="preserve"> Australian Consumer Law,</w:t>
            </w:r>
            <w:r w:rsidRPr="00144CBD">
              <w:t xml:space="preserve"> signed by members of the Council of Austra</w:t>
            </w:r>
            <w:r>
              <w:t>lian Governments on 2 July 2009</w:t>
            </w:r>
          </w:p>
        </w:tc>
      </w:tr>
      <w:tr w:rsidR="00526224" w:rsidRPr="00144CBD" w14:paraId="2B54BA5C" w14:textId="77777777" w:rsidTr="00D13B49">
        <w:tc>
          <w:tcPr>
            <w:tcW w:w="879" w:type="pct"/>
          </w:tcPr>
          <w:p w14:paraId="2B54BA5A" w14:textId="77777777" w:rsidR="00526224" w:rsidRPr="00144CBD" w:rsidRDefault="00526224" w:rsidP="00D13B49">
            <w:r>
              <w:t>OFT</w:t>
            </w:r>
          </w:p>
        </w:tc>
        <w:tc>
          <w:tcPr>
            <w:tcW w:w="4121" w:type="pct"/>
          </w:tcPr>
          <w:p w14:paraId="2B54BA5B" w14:textId="77777777" w:rsidR="00526224" w:rsidRPr="00144CBD" w:rsidRDefault="00526224" w:rsidP="00D13B49">
            <w:r>
              <w:t>Office of Fair Trading</w:t>
            </w:r>
          </w:p>
        </w:tc>
      </w:tr>
      <w:tr w:rsidR="00526224" w:rsidRPr="00144CBD" w14:paraId="2B54BA5F" w14:textId="77777777" w:rsidTr="00D13B49">
        <w:tc>
          <w:tcPr>
            <w:tcW w:w="879" w:type="pct"/>
          </w:tcPr>
          <w:p w14:paraId="2B54BA5D" w14:textId="77777777" w:rsidR="00526224" w:rsidRPr="00144CBD" w:rsidRDefault="00526224" w:rsidP="00D13B49">
            <w:r w:rsidRPr="00144CBD">
              <w:t>PC</w:t>
            </w:r>
          </w:p>
        </w:tc>
        <w:tc>
          <w:tcPr>
            <w:tcW w:w="4121" w:type="pct"/>
          </w:tcPr>
          <w:p w14:paraId="2B54BA5E" w14:textId="77777777" w:rsidR="00526224" w:rsidRPr="00144CBD" w:rsidRDefault="00526224" w:rsidP="00D13B49">
            <w:r w:rsidRPr="00144CBD">
              <w:t>Productivity Commission</w:t>
            </w:r>
          </w:p>
        </w:tc>
      </w:tr>
      <w:tr w:rsidR="00526224" w:rsidRPr="00144CBD" w14:paraId="2B54BA62" w14:textId="77777777" w:rsidTr="00D13B49">
        <w:tc>
          <w:tcPr>
            <w:tcW w:w="879" w:type="pct"/>
          </w:tcPr>
          <w:p w14:paraId="2B54BA60" w14:textId="77777777" w:rsidR="00526224" w:rsidRPr="00144CBD" w:rsidRDefault="00526224" w:rsidP="00D13B49">
            <w:r>
              <w:t>PRAC</w:t>
            </w:r>
          </w:p>
        </w:tc>
        <w:tc>
          <w:tcPr>
            <w:tcW w:w="4121" w:type="pct"/>
          </w:tcPr>
          <w:p w14:paraId="2B54BA61" w14:textId="77777777" w:rsidR="00526224" w:rsidRPr="00144CBD" w:rsidRDefault="00526224" w:rsidP="00D13B49">
            <w:r>
              <w:t>Policy and Research Advisory Committee</w:t>
            </w:r>
          </w:p>
        </w:tc>
      </w:tr>
      <w:tr w:rsidR="00526224" w:rsidRPr="00144CBD" w14:paraId="2B54BA65" w14:textId="77777777" w:rsidTr="00D13B49">
        <w:tc>
          <w:tcPr>
            <w:tcW w:w="879" w:type="pct"/>
          </w:tcPr>
          <w:p w14:paraId="2B54BA63" w14:textId="77777777" w:rsidR="00526224" w:rsidRPr="00144CBD" w:rsidRDefault="00526224" w:rsidP="00D13B49">
            <w:r>
              <w:t>PSCC</w:t>
            </w:r>
          </w:p>
        </w:tc>
        <w:tc>
          <w:tcPr>
            <w:tcW w:w="4121" w:type="pct"/>
          </w:tcPr>
          <w:p w14:paraId="2B54BA64" w14:textId="77777777" w:rsidR="00526224" w:rsidRPr="00144CBD" w:rsidRDefault="00526224" w:rsidP="00D13B49">
            <w:r>
              <w:t xml:space="preserve">Product Safety Consultative Committee </w:t>
            </w:r>
          </w:p>
        </w:tc>
      </w:tr>
      <w:tr w:rsidR="00526224" w:rsidRPr="00144CBD" w14:paraId="2B54BA68" w14:textId="77777777" w:rsidTr="00D13B49">
        <w:tc>
          <w:tcPr>
            <w:tcW w:w="879" w:type="pct"/>
          </w:tcPr>
          <w:p w14:paraId="2B54BA66" w14:textId="77777777" w:rsidR="00526224" w:rsidRPr="00144CBD" w:rsidRDefault="00526224" w:rsidP="00D13B49">
            <w:r w:rsidRPr="00144CBD">
              <w:t>TPA</w:t>
            </w:r>
          </w:p>
        </w:tc>
        <w:tc>
          <w:tcPr>
            <w:tcW w:w="4121" w:type="pct"/>
          </w:tcPr>
          <w:p w14:paraId="2B54BA67" w14:textId="77777777" w:rsidR="00526224" w:rsidRPr="006849DE" w:rsidRDefault="00526224" w:rsidP="00D13B49">
            <w:r w:rsidRPr="00144CBD">
              <w:rPr>
                <w:i/>
              </w:rPr>
              <w:t>Trade Practices Act 1974</w:t>
            </w:r>
            <w:r>
              <w:rPr>
                <w:i/>
              </w:rPr>
              <w:t xml:space="preserve"> </w:t>
            </w:r>
            <w:r>
              <w:t>(now the CCA)</w:t>
            </w:r>
          </w:p>
        </w:tc>
      </w:tr>
      <w:bookmarkEnd w:id="6"/>
      <w:bookmarkEnd w:id="7"/>
    </w:tbl>
    <w:p w14:paraId="2B54BA69" w14:textId="77777777" w:rsidR="00A67451" w:rsidRDefault="00A67451" w:rsidP="00C80E4D">
      <w:pPr>
        <w:rPr>
          <w:b/>
        </w:rPr>
      </w:pPr>
    </w:p>
    <w:p w14:paraId="57A83A52" w14:textId="77777777" w:rsidR="00CF34FE" w:rsidRDefault="00CF34FE">
      <w:pPr>
        <w:spacing w:after="0" w:line="240" w:lineRule="auto"/>
        <w:rPr>
          <w:b/>
        </w:rPr>
        <w:sectPr w:rsidR="00CF34FE" w:rsidSect="00455542">
          <w:headerReference w:type="first" r:id="rId28"/>
          <w:footerReference w:type="first" r:id="rId29"/>
          <w:pgSz w:w="11906" w:h="16838" w:code="9"/>
          <w:pgMar w:top="1418" w:right="1418" w:bottom="1418" w:left="1418" w:header="709" w:footer="709" w:gutter="0"/>
          <w:pgNumType w:fmt="lowerRoman"/>
          <w:cols w:space="708"/>
          <w:titlePg/>
          <w:docGrid w:linePitch="360"/>
        </w:sectPr>
      </w:pPr>
    </w:p>
    <w:p w14:paraId="2B54BA6B" w14:textId="77777777" w:rsidR="00A67451" w:rsidRDefault="00A67451" w:rsidP="00455542">
      <w:pPr>
        <w:pStyle w:val="Heading1"/>
        <w:spacing w:before="0" w:after="240"/>
      </w:pPr>
      <w:bookmarkStart w:id="8" w:name="_Toc370468042"/>
      <w:r>
        <w:lastRenderedPageBreak/>
        <w:t>Executive summary</w:t>
      </w:r>
      <w:bookmarkEnd w:id="8"/>
    </w:p>
    <w:p w14:paraId="2B54BA6C" w14:textId="69702910" w:rsidR="00446B23" w:rsidRDefault="00D03AB8" w:rsidP="00446B23">
      <w:pPr>
        <w:pStyle w:val="Heading2"/>
      </w:pPr>
      <w:bookmarkStart w:id="9" w:name="_Toc367715245"/>
      <w:bookmarkStart w:id="10" w:name="_Toc370468043"/>
      <w:r>
        <w:t>The</w:t>
      </w:r>
      <w:r w:rsidRPr="00D03AB8">
        <w:rPr>
          <w:lang w:val="en"/>
        </w:rPr>
        <w:t xml:space="preserve"> </w:t>
      </w:r>
      <w:r w:rsidRPr="001925F0">
        <w:rPr>
          <w:lang w:val="en"/>
        </w:rPr>
        <w:t>multi</w:t>
      </w:r>
      <w:r w:rsidR="00455542">
        <w:rPr>
          <w:lang w:val="en"/>
        </w:rPr>
        <w:noBreakHyphen/>
      </w:r>
      <w:r w:rsidRPr="001925F0">
        <w:rPr>
          <w:lang w:val="en"/>
        </w:rPr>
        <w:t>regulator model of the ACL</w:t>
      </w:r>
      <w:bookmarkEnd w:id="9"/>
      <w:bookmarkEnd w:id="10"/>
    </w:p>
    <w:p w14:paraId="2B54BA6D" w14:textId="63F40E98" w:rsidR="00D03AB8" w:rsidRPr="004C1ADA" w:rsidRDefault="00D03AB8" w:rsidP="00D03AB8">
      <w:bookmarkStart w:id="11" w:name="_Toc341687817"/>
      <w:bookmarkStart w:id="12" w:name="_Toc341697090"/>
      <w:bookmarkStart w:id="13" w:name="_Toc342052619"/>
      <w:bookmarkStart w:id="14" w:name="_Toc342299161"/>
      <w:bookmarkStart w:id="15" w:name="_Toc342299504"/>
      <w:bookmarkStart w:id="16" w:name="_Toc342381472"/>
      <w:r>
        <w:t>Since the commencement of the A</w:t>
      </w:r>
      <w:r w:rsidR="0084211F">
        <w:t xml:space="preserve">ustralian </w:t>
      </w:r>
      <w:r>
        <w:t>C</w:t>
      </w:r>
      <w:r w:rsidR="0084211F">
        <w:t xml:space="preserve">onsumer </w:t>
      </w:r>
      <w:r>
        <w:t>L</w:t>
      </w:r>
      <w:r w:rsidR="0084211F">
        <w:t>aw</w:t>
      </w:r>
      <w:r w:rsidR="00B31457">
        <w:t xml:space="preserve"> (ACL)</w:t>
      </w:r>
      <w:r w:rsidR="001D761E">
        <w:t xml:space="preserve"> on 1 January 2011</w:t>
      </w:r>
      <w:r>
        <w:t>, consumer agencies across Australia have worked together to support greater cooperation in enforcement, education, policy and research</w:t>
      </w:r>
      <w:r w:rsidR="00455542">
        <w:t xml:space="preserve">. </w:t>
      </w:r>
      <w:r w:rsidR="00437B2C">
        <w:t>C</w:t>
      </w:r>
      <w:r>
        <w:t>onsumer agencies have built on harmonisation and coordination efforts by moving towards a more closely integrated operational model to support the ACL</w:t>
      </w:r>
      <w:r w:rsidR="00455542">
        <w:t xml:space="preserve">. </w:t>
      </w:r>
      <w:r>
        <w:t>The cooperative decision</w:t>
      </w:r>
      <w:r w:rsidR="00455542">
        <w:noBreakHyphen/>
      </w:r>
      <w:r>
        <w:t>making approach for the ACL has supported a nationally consistent approach to consumer protection challenges, while closer integration of compliance and enforcement operations has ensured that Australian consumers are afforded consistent protection against unfair trade practices</w:t>
      </w:r>
      <w:r w:rsidR="00455542">
        <w:t xml:space="preserve">. </w:t>
      </w:r>
      <w:r w:rsidR="00526224">
        <w:t xml:space="preserve">In turn, </w:t>
      </w:r>
      <w:r w:rsidR="00526224" w:rsidRPr="00526224">
        <w:t>Australian business</w:t>
      </w:r>
      <w:r w:rsidR="00526224">
        <w:t>es have benefited from</w:t>
      </w:r>
      <w:r w:rsidR="00526224" w:rsidRPr="00526224">
        <w:t xml:space="preserve"> </w:t>
      </w:r>
      <w:r w:rsidR="00526224">
        <w:t>greater consistency in</w:t>
      </w:r>
      <w:r w:rsidR="00526224" w:rsidRPr="00526224">
        <w:t xml:space="preserve"> </w:t>
      </w:r>
      <w:r w:rsidR="00526224">
        <w:t>the application of consumer</w:t>
      </w:r>
      <w:r w:rsidR="00526224" w:rsidRPr="00526224">
        <w:t xml:space="preserve"> law, </w:t>
      </w:r>
      <w:r w:rsidR="00526224">
        <w:t>and the co</w:t>
      </w:r>
      <w:r w:rsidR="00526224" w:rsidRPr="00526224">
        <w:t>ordinated approach</w:t>
      </w:r>
      <w:r w:rsidR="00526224">
        <w:t xml:space="preserve"> to compliance and enforcement has streamlined businesses’ engagement with Australia’s </w:t>
      </w:r>
      <w:r w:rsidR="00526224" w:rsidRPr="00526224">
        <w:t>consumer regulators.</w:t>
      </w:r>
      <w:r w:rsidR="00526224">
        <w:t xml:space="preserve"> </w:t>
      </w:r>
    </w:p>
    <w:p w14:paraId="2B54BA6E" w14:textId="77777777" w:rsidR="00446B23" w:rsidRDefault="00446B23" w:rsidP="00446B23">
      <w:pPr>
        <w:pStyle w:val="Heading2"/>
      </w:pPr>
      <w:bookmarkStart w:id="17" w:name="_Toc367715246"/>
      <w:bookmarkStart w:id="18" w:name="_Toc370468044"/>
      <w:r>
        <w:t>A strengthened consumer protection framework</w:t>
      </w:r>
      <w:bookmarkEnd w:id="11"/>
      <w:bookmarkEnd w:id="12"/>
      <w:bookmarkEnd w:id="13"/>
      <w:bookmarkEnd w:id="14"/>
      <w:bookmarkEnd w:id="15"/>
      <w:bookmarkEnd w:id="16"/>
      <w:bookmarkEnd w:id="17"/>
      <w:bookmarkEnd w:id="18"/>
      <w:r>
        <w:t xml:space="preserve"> </w:t>
      </w:r>
    </w:p>
    <w:p w14:paraId="2B54BA6F" w14:textId="77777777" w:rsidR="00060867" w:rsidRDefault="00060867" w:rsidP="00526224">
      <w:pPr>
        <w:rPr>
          <w:b/>
          <w:bCs/>
          <w:iCs/>
          <w:smallCaps/>
        </w:rPr>
      </w:pPr>
      <w:bookmarkStart w:id="19" w:name="_Toc342052620"/>
      <w:bookmarkStart w:id="20" w:name="_Toc342299162"/>
      <w:bookmarkStart w:id="21" w:name="_Toc341687818"/>
      <w:bookmarkStart w:id="22" w:name="_Toc341697091"/>
      <w:bookmarkStart w:id="23" w:name="_Toc342299505"/>
      <w:bookmarkStart w:id="24" w:name="_Toc342381473"/>
      <w:r>
        <w:t xml:space="preserve">Consumer agencies have continued work to build on the consumer policy evidence base, strengthen and improve Australia’s consumer </w:t>
      </w:r>
      <w:r w:rsidRPr="00F52602">
        <w:t>protection</w:t>
      </w:r>
      <w:r>
        <w:t xml:space="preserve"> framework and deliver on strategic goals. Key work </w:t>
      </w:r>
      <w:r w:rsidR="0084211F">
        <w:t xml:space="preserve">has </w:t>
      </w:r>
      <w:r>
        <w:t xml:space="preserve">included the formation of a working party to progress travel services reform, consideration of petrol price board signage, commencement of preparation for the scheduled 2016 </w:t>
      </w:r>
      <w:r w:rsidR="008B2A66">
        <w:t>implementation</w:t>
      </w:r>
      <w:r>
        <w:t xml:space="preserve"> review of</w:t>
      </w:r>
      <w:r w:rsidR="0084211F">
        <w:t xml:space="preserve"> the</w:t>
      </w:r>
      <w:r>
        <w:t xml:space="preserve"> ACL and consideration of component pricing amendments.</w:t>
      </w:r>
    </w:p>
    <w:p w14:paraId="2B54BA70" w14:textId="77777777" w:rsidR="00446B23" w:rsidRDefault="00446B23" w:rsidP="00446B23">
      <w:pPr>
        <w:pStyle w:val="Heading2"/>
      </w:pPr>
      <w:bookmarkStart w:id="25" w:name="_Toc367715248"/>
      <w:bookmarkStart w:id="26" w:name="_Toc370468045"/>
      <w:r>
        <w:t>Focussed education and information</w:t>
      </w:r>
      <w:bookmarkEnd w:id="19"/>
      <w:bookmarkEnd w:id="20"/>
      <w:bookmarkEnd w:id="21"/>
      <w:bookmarkEnd w:id="22"/>
      <w:bookmarkEnd w:id="23"/>
      <w:bookmarkEnd w:id="24"/>
      <w:bookmarkEnd w:id="25"/>
      <w:bookmarkEnd w:id="26"/>
    </w:p>
    <w:p w14:paraId="2B54BA71" w14:textId="5D79797F" w:rsidR="00D03AB8" w:rsidRDefault="004A7811" w:rsidP="00526224">
      <w:pPr>
        <w:rPr>
          <w:b/>
          <w:bCs/>
          <w:iCs/>
          <w:smallCaps/>
        </w:rPr>
      </w:pPr>
      <w:bookmarkStart w:id="27" w:name="_Toc367715249"/>
      <w:bookmarkStart w:id="28" w:name="_Toc341687819"/>
      <w:bookmarkStart w:id="29" w:name="_Toc341697092"/>
      <w:bookmarkStart w:id="30" w:name="_Toc342052621"/>
      <w:bookmarkStart w:id="31" w:name="_Toc342299163"/>
      <w:bookmarkStart w:id="32" w:name="_Toc342299506"/>
      <w:bookmarkStart w:id="33" w:name="_Toc342381474"/>
      <w:r>
        <w:t>E</w:t>
      </w:r>
      <w:r w:rsidR="00D03AB8" w:rsidRPr="00D03AB8">
        <w:t xml:space="preserve">ducation and information activities have improved consumer </w:t>
      </w:r>
      <w:r w:rsidR="008206B7">
        <w:t>awareness</w:t>
      </w:r>
      <w:r w:rsidR="008206B7" w:rsidRPr="00D03AB8">
        <w:t xml:space="preserve"> </w:t>
      </w:r>
      <w:r w:rsidR="00D03AB8" w:rsidRPr="00D03AB8">
        <w:t>of the ACL by focussing on consumers’ understanding of their rights, and have complemented the compliance activities of consumer agencies</w:t>
      </w:r>
      <w:r w:rsidR="00E5627B">
        <w:t xml:space="preserve"> by assisting businesses to meet their obligations</w:t>
      </w:r>
      <w:r w:rsidR="00D03AB8" w:rsidRPr="00D03AB8">
        <w:t>. Key communications strategies were delive</w:t>
      </w:r>
      <w:r w:rsidR="001D761E">
        <w:t>red, including the publications</w:t>
      </w:r>
      <w:r w:rsidR="00D03AB8" w:rsidRPr="00D03AB8">
        <w:t xml:space="preserve">: </w:t>
      </w:r>
      <w:r w:rsidR="00D03AB8" w:rsidRPr="009C6840">
        <w:rPr>
          <w:i/>
        </w:rPr>
        <w:t>Small business self</w:t>
      </w:r>
      <w:r w:rsidR="00455542">
        <w:rPr>
          <w:i/>
        </w:rPr>
        <w:noBreakHyphen/>
      </w:r>
      <w:r w:rsidR="00D03AB8" w:rsidRPr="009C6840">
        <w:rPr>
          <w:i/>
        </w:rPr>
        <w:t>assessment checklist</w:t>
      </w:r>
      <w:r w:rsidR="00D03AB8" w:rsidRPr="00D03AB8">
        <w:t xml:space="preserve"> and </w:t>
      </w:r>
      <w:proofErr w:type="gramStart"/>
      <w:r w:rsidR="00D03AB8" w:rsidRPr="009C6840">
        <w:rPr>
          <w:i/>
        </w:rPr>
        <w:t>My</w:t>
      </w:r>
      <w:proofErr w:type="gramEnd"/>
      <w:r w:rsidR="00D03AB8" w:rsidRPr="009C6840">
        <w:rPr>
          <w:i/>
        </w:rPr>
        <w:t xml:space="preserve"> consumer rights</w:t>
      </w:r>
      <w:r w:rsidR="00D03AB8" w:rsidRPr="00D03AB8">
        <w:t>, and the development of industry guides.</w:t>
      </w:r>
      <w:bookmarkEnd w:id="27"/>
    </w:p>
    <w:p w14:paraId="2B54BA72" w14:textId="77777777" w:rsidR="00446B23" w:rsidRDefault="00446B23" w:rsidP="00446B23">
      <w:pPr>
        <w:pStyle w:val="Heading2"/>
      </w:pPr>
      <w:bookmarkStart w:id="34" w:name="_Toc367715250"/>
      <w:bookmarkStart w:id="35" w:name="_Toc370468046"/>
      <w:r>
        <w:t>Targeted compliance and dispute resolution</w:t>
      </w:r>
      <w:bookmarkEnd w:id="28"/>
      <w:bookmarkEnd w:id="29"/>
      <w:bookmarkEnd w:id="30"/>
      <w:bookmarkEnd w:id="31"/>
      <w:bookmarkEnd w:id="32"/>
      <w:bookmarkEnd w:id="33"/>
      <w:bookmarkEnd w:id="34"/>
      <w:bookmarkEnd w:id="35"/>
    </w:p>
    <w:p w14:paraId="2B54BA73" w14:textId="77777777" w:rsidR="00D03AB8" w:rsidRDefault="004A7811" w:rsidP="00526224">
      <w:pPr>
        <w:rPr>
          <w:b/>
          <w:bCs/>
          <w:iCs/>
          <w:smallCaps/>
        </w:rPr>
      </w:pPr>
      <w:bookmarkStart w:id="36" w:name="_Toc367715251"/>
      <w:bookmarkStart w:id="37" w:name="_Toc341687820"/>
      <w:bookmarkStart w:id="38" w:name="_Toc341697093"/>
      <w:bookmarkStart w:id="39" w:name="_Toc342052622"/>
      <w:bookmarkStart w:id="40" w:name="_Toc342299164"/>
      <w:bookmarkStart w:id="41" w:name="_Toc342299507"/>
      <w:bookmarkStart w:id="42" w:name="_Toc342381475"/>
      <w:r>
        <w:t xml:space="preserve">Consumer agencies </w:t>
      </w:r>
      <w:r w:rsidR="00D03AB8" w:rsidRPr="00D03AB8">
        <w:t>ha</w:t>
      </w:r>
      <w:r>
        <w:t xml:space="preserve">ve progressed work on a range of </w:t>
      </w:r>
      <w:r w:rsidR="001D761E">
        <w:t>n</w:t>
      </w:r>
      <w:r>
        <w:t xml:space="preserve">ational </w:t>
      </w:r>
      <w:r w:rsidR="001D761E">
        <w:t>p</w:t>
      </w:r>
      <w:r>
        <w:t>rojects and have</w:t>
      </w:r>
      <w:r w:rsidR="00D03AB8" w:rsidRPr="00D03AB8">
        <w:t xml:space="preserve"> considered a </w:t>
      </w:r>
      <w:r w:rsidR="001D761E">
        <w:t>number</w:t>
      </w:r>
      <w:r w:rsidR="00D03AB8" w:rsidRPr="00D03AB8">
        <w:t xml:space="preserve"> of consumer protection challenges including in relation to extended warranties, food labelling, energy switching, </w:t>
      </w:r>
      <w:r w:rsidR="00F11A12">
        <w:t>I</w:t>
      </w:r>
      <w:r w:rsidR="00D03AB8" w:rsidRPr="00D03AB8">
        <w:t>ndigenous consumer issues, travelling conmen, group buying, and dispute resolution.</w:t>
      </w:r>
      <w:bookmarkEnd w:id="36"/>
    </w:p>
    <w:p w14:paraId="2B54BA74" w14:textId="77777777" w:rsidR="00D03AB8" w:rsidRDefault="00446B23" w:rsidP="009C6840">
      <w:pPr>
        <w:pStyle w:val="Heading2"/>
      </w:pPr>
      <w:bookmarkStart w:id="43" w:name="_Toc367715252"/>
      <w:bookmarkStart w:id="44" w:name="_Toc370468047"/>
      <w:r>
        <w:t>A national product safety</w:t>
      </w:r>
      <w:bookmarkEnd w:id="37"/>
      <w:bookmarkEnd w:id="38"/>
      <w:r>
        <w:t xml:space="preserve"> approach</w:t>
      </w:r>
      <w:bookmarkEnd w:id="39"/>
      <w:bookmarkEnd w:id="40"/>
      <w:bookmarkEnd w:id="41"/>
      <w:bookmarkEnd w:id="42"/>
      <w:bookmarkEnd w:id="43"/>
      <w:bookmarkEnd w:id="44"/>
    </w:p>
    <w:p w14:paraId="42D45C08" w14:textId="77777777" w:rsidR="00455542" w:rsidRDefault="00437B2C" w:rsidP="009C6840">
      <w:pPr>
        <w:sectPr w:rsidR="00455542" w:rsidSect="00455542">
          <w:headerReference w:type="first" r:id="rId30"/>
          <w:footerReference w:type="first" r:id="rId31"/>
          <w:pgSz w:w="11906" w:h="16838" w:code="9"/>
          <w:pgMar w:top="1418" w:right="1418" w:bottom="1418" w:left="1418" w:header="709" w:footer="709" w:gutter="0"/>
          <w:pgNumType w:fmt="lowerRoman"/>
          <w:cols w:space="708"/>
          <w:titlePg/>
          <w:docGrid w:linePitch="360"/>
        </w:sectPr>
      </w:pPr>
      <w:r>
        <w:t>C</w:t>
      </w:r>
      <w:r w:rsidR="00D03AB8" w:rsidRPr="00D03AB8">
        <w:t>onsumer agencies</w:t>
      </w:r>
      <w:r w:rsidR="0084211F">
        <w:t xml:space="preserve"> have</w:t>
      </w:r>
      <w:r w:rsidR="00D03AB8" w:rsidRPr="00D03AB8">
        <w:t xml:space="preserve"> continued to promote, maintain and achieve compliance with Australia’s product safety system. Key work </w:t>
      </w:r>
      <w:r w:rsidR="0084211F">
        <w:t xml:space="preserve">has </w:t>
      </w:r>
      <w:r w:rsidR="00D03AB8" w:rsidRPr="00D03AB8">
        <w:t xml:space="preserve">included </w:t>
      </w:r>
      <w:r w:rsidR="001D761E">
        <w:t xml:space="preserve">projects relating </w:t>
      </w:r>
      <w:r w:rsidR="00D03AB8" w:rsidRPr="00D03AB8">
        <w:t>to sunglasses, sporting goods, ember protection for evaporative air conditioners and research into the safety of quad bikes</w:t>
      </w:r>
      <w:r w:rsidR="00455542">
        <w:t xml:space="preserve">. </w:t>
      </w:r>
      <w:r w:rsidR="00D03AB8" w:rsidRPr="00D03AB8">
        <w:t>In the emerging hazards area, the P</w:t>
      </w:r>
      <w:r w:rsidR="0084211F">
        <w:t xml:space="preserve">roduct </w:t>
      </w:r>
      <w:r w:rsidR="00D03AB8" w:rsidRPr="00D03AB8">
        <w:t>S</w:t>
      </w:r>
      <w:r w:rsidR="0084211F">
        <w:t xml:space="preserve">afety </w:t>
      </w:r>
      <w:r w:rsidR="00D03AB8" w:rsidRPr="00D03AB8">
        <w:t>C</w:t>
      </w:r>
      <w:r w:rsidR="0084211F">
        <w:t xml:space="preserve">onsultative </w:t>
      </w:r>
      <w:r w:rsidR="00D03AB8" w:rsidRPr="00D03AB8">
        <w:t>C</w:t>
      </w:r>
      <w:r w:rsidR="0084211F">
        <w:t>ommittee (PSCC)</w:t>
      </w:r>
      <w:r w:rsidR="00D03AB8" w:rsidRPr="00D03AB8">
        <w:t xml:space="preserve"> developed an urgent response framework, introduced a report on deaths and severe injuries associated with consumer goods and coordinated a national response to hazards posed by small powerful magnets and synthetic drugs.</w:t>
      </w:r>
      <w:r w:rsidR="00455542">
        <w:t xml:space="preserve"> </w:t>
      </w:r>
    </w:p>
    <w:p w14:paraId="2B54BA76" w14:textId="77777777" w:rsidR="00DB5EA2" w:rsidRDefault="00A67451">
      <w:pPr>
        <w:pStyle w:val="Heading1"/>
      </w:pPr>
      <w:bookmarkStart w:id="45" w:name="_Toc370468048"/>
      <w:r>
        <w:lastRenderedPageBreak/>
        <w:t>Introduction</w:t>
      </w:r>
      <w:bookmarkEnd w:id="45"/>
    </w:p>
    <w:p w14:paraId="2B54BA77" w14:textId="1551364A" w:rsidR="00C94F24" w:rsidRDefault="00AC2632" w:rsidP="004C1ADA">
      <w:r>
        <w:t xml:space="preserve">The Australian Consumer Law (ACL) commenced on 1 January 2011. The ACL harmonised the consumer protection provisions of the </w:t>
      </w:r>
      <w:r w:rsidRPr="00FB2B3C">
        <w:rPr>
          <w:i/>
        </w:rPr>
        <w:t>Trade Practices Act 1974</w:t>
      </w:r>
      <w:r>
        <w:t xml:space="preserve"> (TPA) and previous state and territory fair trading laws</w:t>
      </w:r>
      <w:r w:rsidR="00455542">
        <w:t xml:space="preserve">. </w:t>
      </w:r>
      <w:r>
        <w:t>Since the commencement of the ACL, consumer agencies across Australia have worked together to support greater cooperation in enforcement, education, policy and research activities</w:t>
      </w:r>
      <w:r w:rsidR="00455542">
        <w:t xml:space="preserve">. </w:t>
      </w:r>
    </w:p>
    <w:p w14:paraId="2B54BA78" w14:textId="7C8C146A" w:rsidR="00DF2E56" w:rsidRPr="004C1ADA" w:rsidRDefault="00AC2632" w:rsidP="004C1ADA">
      <w:r>
        <w:t xml:space="preserve">In </w:t>
      </w:r>
      <w:r w:rsidR="00A9150D">
        <w:t>2012</w:t>
      </w:r>
      <w:r w:rsidR="00455542">
        <w:noBreakHyphen/>
      </w:r>
      <w:r w:rsidR="00A9150D">
        <w:t>13</w:t>
      </w:r>
      <w:r>
        <w:t>, consumer agencies have built on harmonisation and coordination efforts by moving towards a more closely integrated operational model to support the ACL</w:t>
      </w:r>
      <w:r w:rsidR="00455542">
        <w:t xml:space="preserve">. </w:t>
      </w:r>
      <w:r w:rsidR="00DF2E56">
        <w:t>The cooperative decision</w:t>
      </w:r>
      <w:r w:rsidR="00455542">
        <w:noBreakHyphen/>
      </w:r>
      <w:r w:rsidR="00DF2E56">
        <w:t>making approach for the ACL has supported</w:t>
      </w:r>
      <w:r w:rsidR="00C94F24">
        <w:t xml:space="preserve"> a nationally consistent approach to</w:t>
      </w:r>
      <w:r w:rsidR="00DF2E56">
        <w:t xml:space="preserve"> consumer protection challenges, while c</w:t>
      </w:r>
      <w:r w:rsidR="00A26BD5">
        <w:t>loser integration of compliance and enforcement operations</w:t>
      </w:r>
      <w:r w:rsidR="00DF2E56">
        <w:t xml:space="preserve"> has ensured that Australian consumers are afforded consistent protection against unfair trade practices</w:t>
      </w:r>
      <w:r w:rsidR="00455542">
        <w:t xml:space="preserve">. </w:t>
      </w:r>
      <w:r w:rsidR="00526224">
        <w:t xml:space="preserve">In turn, </w:t>
      </w:r>
      <w:r w:rsidR="00526224" w:rsidRPr="00526224">
        <w:t>Australian business</w:t>
      </w:r>
      <w:r w:rsidR="00526224">
        <w:t>es have benefited from</w:t>
      </w:r>
      <w:r w:rsidR="00526224" w:rsidRPr="00526224">
        <w:t xml:space="preserve"> </w:t>
      </w:r>
      <w:r w:rsidR="00526224">
        <w:t>greater consistency in</w:t>
      </w:r>
      <w:r w:rsidR="00526224" w:rsidRPr="00526224">
        <w:t xml:space="preserve"> </w:t>
      </w:r>
      <w:r w:rsidR="00526224">
        <w:t>the application of consumer</w:t>
      </w:r>
      <w:r w:rsidR="00526224" w:rsidRPr="00526224">
        <w:t xml:space="preserve"> law, </w:t>
      </w:r>
      <w:r w:rsidR="00526224">
        <w:t>and the co</w:t>
      </w:r>
      <w:r w:rsidR="00526224" w:rsidRPr="00526224">
        <w:t>ordinated approach</w:t>
      </w:r>
      <w:r w:rsidR="00526224">
        <w:t xml:space="preserve"> to compliance and enforcement has streamlined businesses’ engagement with Australia’s </w:t>
      </w:r>
      <w:r w:rsidR="00526224" w:rsidRPr="00526224">
        <w:t>consumer regulators.</w:t>
      </w:r>
    </w:p>
    <w:p w14:paraId="2B54BA79" w14:textId="77777777" w:rsidR="004C1ADA" w:rsidRDefault="004C1ADA" w:rsidP="004C1ADA">
      <w:pPr>
        <w:pStyle w:val="Heading2"/>
      </w:pPr>
      <w:bookmarkStart w:id="46" w:name="_Toc370468049"/>
      <w:bookmarkStart w:id="47" w:name="_Toc294876844"/>
      <w:r>
        <w:t>The Australian Consumer Law</w:t>
      </w:r>
      <w:bookmarkEnd w:id="46"/>
    </w:p>
    <w:p w14:paraId="2B54BA7A" w14:textId="77777777" w:rsidR="00A67451" w:rsidRDefault="00A67451" w:rsidP="00A67451">
      <w:r>
        <w:t xml:space="preserve">The full text of the ACL is set out in Schedule 2 of the </w:t>
      </w:r>
      <w:r>
        <w:rPr>
          <w:i/>
        </w:rPr>
        <w:t>Competition and Consumer Act 2010</w:t>
      </w:r>
      <w:r>
        <w:t>, which is the principal consumer protection law in Australia. The ACL includes:</w:t>
      </w:r>
    </w:p>
    <w:p w14:paraId="2B54BA7B" w14:textId="77777777" w:rsidR="00A67451" w:rsidRDefault="00A67451" w:rsidP="00A67451">
      <w:pPr>
        <w:pStyle w:val="Bullet"/>
        <w:numPr>
          <w:ilvl w:val="0"/>
          <w:numId w:val="28"/>
        </w:numPr>
        <w:spacing w:line="240" w:lineRule="auto"/>
      </w:pPr>
      <w:r>
        <w:t xml:space="preserve">core consumer protection </w:t>
      </w:r>
      <w:r w:rsidRPr="004B61C7">
        <w:t>provision</w:t>
      </w:r>
      <w:r>
        <w:t xml:space="preserve">s prohibiting misleading or deceptive conduct, </w:t>
      </w:r>
      <w:r w:rsidRPr="004B61C7">
        <w:t>unconscionable co</w:t>
      </w:r>
      <w:r>
        <w:t>nduct and unfair contract terms;</w:t>
      </w:r>
    </w:p>
    <w:p w14:paraId="2B54BA7C" w14:textId="77777777" w:rsidR="00A67451" w:rsidRDefault="00A67451" w:rsidP="00A67451">
      <w:pPr>
        <w:pStyle w:val="Bullet"/>
        <w:numPr>
          <w:ilvl w:val="0"/>
          <w:numId w:val="28"/>
        </w:numPr>
        <w:spacing w:line="240" w:lineRule="auto"/>
      </w:pPr>
      <w:r>
        <w:t>specific prohibitions or regulation of unfair practices based on best practice in state and territory consumer protection laws, including pyramid selling, unsolicited supplies of goods and services, component pricing and the provision of bills and receipts;</w:t>
      </w:r>
    </w:p>
    <w:p w14:paraId="2B54BA7D" w14:textId="36570D5A" w:rsidR="00A67451" w:rsidRDefault="00A67451" w:rsidP="00A67451">
      <w:pPr>
        <w:pStyle w:val="Bullet"/>
        <w:numPr>
          <w:ilvl w:val="0"/>
          <w:numId w:val="28"/>
        </w:numPr>
        <w:spacing w:line="240" w:lineRule="auto"/>
      </w:pPr>
      <w:r>
        <w:t>an integrated and harmonised legal framework for unsolicited selling, including door</w:t>
      </w:r>
      <w:r w:rsidR="00455542">
        <w:noBreakHyphen/>
      </w:r>
      <w:r>
        <w:t>to</w:t>
      </w:r>
      <w:r w:rsidR="00455542">
        <w:noBreakHyphen/>
      </w:r>
      <w:r>
        <w:t xml:space="preserve">door trading and telephone sales; </w:t>
      </w:r>
    </w:p>
    <w:p w14:paraId="2B54BA7E" w14:textId="77777777" w:rsidR="00A67451" w:rsidRDefault="00A67451" w:rsidP="00A67451">
      <w:pPr>
        <w:pStyle w:val="Bullet"/>
        <w:numPr>
          <w:ilvl w:val="0"/>
          <w:numId w:val="28"/>
        </w:numPr>
        <w:spacing w:line="240" w:lineRule="auto"/>
      </w:pPr>
      <w:r w:rsidRPr="004B61C7">
        <w:t>a national law for consumer product safety</w:t>
      </w:r>
      <w:r>
        <w:t xml:space="preserve">; </w:t>
      </w:r>
    </w:p>
    <w:p w14:paraId="2B54BA7F" w14:textId="77777777" w:rsidR="00A67451" w:rsidRDefault="00A67451" w:rsidP="00A67451">
      <w:pPr>
        <w:pStyle w:val="Bullet"/>
        <w:numPr>
          <w:ilvl w:val="0"/>
          <w:numId w:val="28"/>
        </w:numPr>
        <w:spacing w:line="240" w:lineRule="auto"/>
      </w:pPr>
      <w:r w:rsidRPr="004B61C7">
        <w:t xml:space="preserve">a </w:t>
      </w:r>
      <w:r>
        <w:t xml:space="preserve">system of statutory consumer guarantees; and </w:t>
      </w:r>
    </w:p>
    <w:p w14:paraId="2B54BA80" w14:textId="77777777" w:rsidR="00A67451" w:rsidRDefault="00A67451" w:rsidP="00A67451">
      <w:pPr>
        <w:pStyle w:val="Bullet"/>
        <w:numPr>
          <w:ilvl w:val="0"/>
          <w:numId w:val="28"/>
        </w:numPr>
        <w:spacing w:line="240" w:lineRule="auto"/>
      </w:pPr>
      <w:proofErr w:type="gramStart"/>
      <w:r>
        <w:t>strengthened</w:t>
      </w:r>
      <w:proofErr w:type="gramEnd"/>
      <w:r>
        <w:t xml:space="preserve"> enforcement and consumer redress provisions.</w:t>
      </w:r>
    </w:p>
    <w:p w14:paraId="2B54BA81" w14:textId="77777777" w:rsidR="000705D6" w:rsidRDefault="00A67451" w:rsidP="00A67451">
      <w:r w:rsidRPr="00C613D0">
        <w:t>The ACL is a single</w:t>
      </w:r>
      <w:r>
        <w:t>, integrated and harmonised</w:t>
      </w:r>
      <w:r w:rsidRPr="00C613D0">
        <w:t xml:space="preserve"> consumer law, which replaces approximately 900 substantive provisions of at least 20 national, state and territory Acts</w:t>
      </w:r>
      <w:r>
        <w:t xml:space="preserve">. </w:t>
      </w:r>
      <w:r w:rsidRPr="004B61C7">
        <w:t>It mean</w:t>
      </w:r>
      <w:r>
        <w:t>s</w:t>
      </w:r>
      <w:r w:rsidRPr="004B61C7">
        <w:t xml:space="preserve"> that all consumers</w:t>
      </w:r>
      <w:r>
        <w:t xml:space="preserve"> in Australia </w:t>
      </w:r>
      <w:r w:rsidRPr="004B61C7">
        <w:t>have the same rights and all businesses</w:t>
      </w:r>
      <w:r>
        <w:t xml:space="preserve"> </w:t>
      </w:r>
      <w:r w:rsidRPr="004B61C7">
        <w:t>have the same obligations</w:t>
      </w:r>
      <w:r>
        <w:t xml:space="preserve">, irrespective of the state or territory in which they engage in transactions. Further information about the ACL is available at </w:t>
      </w:r>
      <w:r w:rsidRPr="00597BB8">
        <w:t>www.consumerlaw.gov.au.</w:t>
      </w:r>
    </w:p>
    <w:p w14:paraId="2B54BA82" w14:textId="77777777" w:rsidR="000705D6" w:rsidRDefault="000705D6">
      <w:pPr>
        <w:spacing w:after="0" w:line="240" w:lineRule="auto"/>
      </w:pPr>
      <w:r>
        <w:br w:type="page"/>
      </w:r>
    </w:p>
    <w:p w14:paraId="2B54BA83" w14:textId="77777777" w:rsidR="00A67451" w:rsidRDefault="00A67451" w:rsidP="00A67451">
      <w:pPr>
        <w:pStyle w:val="Heading2"/>
      </w:pPr>
      <w:bookmarkStart w:id="48" w:name="_Toc370468050"/>
      <w:bookmarkEnd w:id="47"/>
      <w:r>
        <w:lastRenderedPageBreak/>
        <w:t>Purpose</w:t>
      </w:r>
      <w:r w:rsidR="00AA4BA3">
        <w:t xml:space="preserve"> and structure</w:t>
      </w:r>
      <w:r>
        <w:t xml:space="preserve"> of this report</w:t>
      </w:r>
      <w:bookmarkEnd w:id="48"/>
    </w:p>
    <w:p w14:paraId="2B54BA84" w14:textId="77777777" w:rsidR="00A67451" w:rsidRDefault="00A67451" w:rsidP="00A67451">
      <w:r>
        <w:t>This report provides an update on the work of the Commonwealth and the states and territories in implementing, strengthening and improving the ACL. This report highlights the enhanced coordination between consumer agencies and consistent approaches to consumer issues, in accordance with the National Consumer Policy Objective:</w:t>
      </w:r>
    </w:p>
    <w:p w14:paraId="2B54BA85" w14:textId="77777777" w:rsidR="00A67451" w:rsidRDefault="00A67451" w:rsidP="00A67451">
      <w:pPr>
        <w:pStyle w:val="Quote"/>
      </w:pPr>
      <w:r w:rsidRPr="0024783B">
        <w:t>[t]o improve consumer wellbeing through consumer empowerment and protection, fostering effective competition and enabling confident participation of consumers in markets in which both consumers and suppliers trade fairly.</w:t>
      </w:r>
      <w:r w:rsidRPr="0024783B">
        <w:rPr>
          <w:rStyle w:val="FootnoteReference"/>
        </w:rPr>
        <w:footnoteReference w:id="1"/>
      </w:r>
    </w:p>
    <w:p w14:paraId="2B54BA86" w14:textId="4A42CD7B" w:rsidR="0067215B" w:rsidRDefault="00A67451" w:rsidP="00A67451">
      <w:r>
        <w:t>Further information on the National Consumer Policy Objective, the Intergovernmental Agreement for the Australian Consumer Law (IGA) and Australia’s consumer agencies can be found at Appendix item 1</w:t>
      </w:r>
      <w:r w:rsidR="00455542">
        <w:t xml:space="preserve">. </w:t>
      </w:r>
      <w:r>
        <w:t xml:space="preserve">This report draws on the work engaged in by each jurisdiction through the governance arrangements for the ACL as outlined in Figure 1. </w:t>
      </w:r>
    </w:p>
    <w:p w14:paraId="2B54BA87" w14:textId="330E9208" w:rsidR="00A67451" w:rsidRDefault="00A67451" w:rsidP="00A67451">
      <w:r>
        <w:t>This report will begin by outlining the cooperative decision</w:t>
      </w:r>
      <w:r w:rsidR="00455542">
        <w:noBreakHyphen/>
      </w:r>
      <w:r>
        <w:t>making approach before providing an update of progress on consumer policy and research, education and information, compliance and dispute resolution, and product safety</w:t>
      </w:r>
      <w:r w:rsidR="00455542">
        <w:t xml:space="preserve">. </w:t>
      </w:r>
      <w:r w:rsidR="0067215B">
        <w:t>S</w:t>
      </w:r>
      <w:r>
        <w:t>elected case studies</w:t>
      </w:r>
      <w:r w:rsidR="00AA4BA3">
        <w:t xml:space="preserve"> have been provided</w:t>
      </w:r>
      <w:r>
        <w:t xml:space="preserve"> </w:t>
      </w:r>
      <w:r w:rsidR="008B2A66">
        <w:t>to</w:t>
      </w:r>
      <w:r>
        <w:t xml:space="preserve"> </w:t>
      </w:r>
      <w:r w:rsidR="000758ED">
        <w:t xml:space="preserve">illustrate </w:t>
      </w:r>
      <w:r>
        <w:t xml:space="preserve">the achievements </w:t>
      </w:r>
      <w:r w:rsidR="0067215B">
        <w:t>and</w:t>
      </w:r>
      <w:r>
        <w:t xml:space="preserve"> key work in 2012</w:t>
      </w:r>
      <w:r w:rsidR="00455542">
        <w:noBreakHyphen/>
      </w:r>
      <w:r>
        <w:t>13.</w:t>
      </w:r>
      <w:r w:rsidR="008B2A66">
        <w:rPr>
          <w:rStyle w:val="FootnoteReference"/>
        </w:rPr>
        <w:footnoteReference w:id="2"/>
      </w:r>
      <w:r>
        <w:t xml:space="preserve"> </w:t>
      </w:r>
    </w:p>
    <w:p w14:paraId="2B54BA88" w14:textId="4B660DA3" w:rsidR="00A67451" w:rsidRDefault="00A67451" w:rsidP="00A67451">
      <w:pPr>
        <w:pStyle w:val="Heading2"/>
      </w:pPr>
      <w:bookmarkStart w:id="49" w:name="_Toc294876845"/>
      <w:bookmarkStart w:id="50" w:name="_Toc342299510"/>
      <w:bookmarkStart w:id="51" w:name="_Toc342381478"/>
      <w:bookmarkStart w:id="52" w:name="_Toc370468051"/>
      <w:r>
        <w:t>A cooperative decision</w:t>
      </w:r>
      <w:r w:rsidR="00455542">
        <w:noBreakHyphen/>
      </w:r>
      <w:r>
        <w:t>making approach</w:t>
      </w:r>
      <w:bookmarkEnd w:id="49"/>
      <w:bookmarkEnd w:id="50"/>
      <w:bookmarkEnd w:id="51"/>
      <w:bookmarkEnd w:id="52"/>
    </w:p>
    <w:p w14:paraId="2B54BA89" w14:textId="2CFD27CD" w:rsidR="00A67451" w:rsidRDefault="00A67451" w:rsidP="00A67451">
      <w:r>
        <w:t>T</w:t>
      </w:r>
      <w:r w:rsidRPr="00C64467">
        <w:t>he COAG Legislative and Governance Forum on Consumer Affairs</w:t>
      </w:r>
      <w:r>
        <w:t xml:space="preserve"> (CAF)</w:t>
      </w:r>
      <w:r w:rsidRPr="00C64467">
        <w:t xml:space="preserve"> </w:t>
      </w:r>
      <w:proofErr w:type="gramStart"/>
      <w:r w:rsidRPr="00C64467">
        <w:t>has</w:t>
      </w:r>
      <w:proofErr w:type="gramEnd"/>
      <w:r w:rsidRPr="00C64467">
        <w:t xml:space="preserve"> been establish</w:t>
      </w:r>
      <w:r>
        <w:t>ed to administer Commonwealth, s</w:t>
      </w:r>
      <w:r w:rsidRPr="00C64467">
        <w:t xml:space="preserve">tate and </w:t>
      </w:r>
      <w:r>
        <w:t>t</w:t>
      </w:r>
      <w:r w:rsidRPr="00C64467">
        <w:t xml:space="preserve">erritory Consumer Affairs Ministers’ collective responsibilities under the </w:t>
      </w:r>
      <w:r>
        <w:t>IGA</w:t>
      </w:r>
      <w:r w:rsidR="00455542">
        <w:t xml:space="preserve">. </w:t>
      </w:r>
      <w:r>
        <w:t>C</w:t>
      </w:r>
      <w:r w:rsidR="00992D46">
        <w:t>onsumer Affairs Australia and New Zealand (C</w:t>
      </w:r>
      <w:r>
        <w:t>AANZ</w:t>
      </w:r>
      <w:r w:rsidR="00992D46">
        <w:t>)</w:t>
      </w:r>
      <w:r>
        <w:t xml:space="preserve"> is the principal national forum for day</w:t>
      </w:r>
      <w:r w:rsidR="00455542">
        <w:noBreakHyphen/>
      </w:r>
      <w:r>
        <w:t>to</w:t>
      </w:r>
      <w:r w:rsidR="00455542">
        <w:noBreakHyphen/>
      </w:r>
      <w:r>
        <w:t xml:space="preserve">day policy and enforcement cooperation and coordination between </w:t>
      </w:r>
      <w:r w:rsidR="00016F6E">
        <w:t xml:space="preserve">consumer </w:t>
      </w:r>
      <w:r>
        <w:t>agencies. CAANZ is supported by four advisory and consultative committees.</w:t>
      </w:r>
    </w:p>
    <w:p w14:paraId="2B54BA8A" w14:textId="77777777" w:rsidR="00A67451" w:rsidRDefault="00A67451" w:rsidP="00A67451">
      <w:pPr>
        <w:pStyle w:val="Bullet"/>
        <w:tabs>
          <w:tab w:val="clear" w:pos="520"/>
          <w:tab w:val="num" w:pos="567"/>
        </w:tabs>
        <w:ind w:left="567" w:hanging="567"/>
      </w:pPr>
      <w:r w:rsidRPr="00711986">
        <w:t xml:space="preserve">The </w:t>
      </w:r>
      <w:r>
        <w:rPr>
          <w:b/>
        </w:rPr>
        <w:t xml:space="preserve">Policy and Research Advisory Committee (PRAC) </w:t>
      </w:r>
      <w:r>
        <w:t xml:space="preserve">focuses on the development of common policy approaches to national consumer issues, particularly as they relate to the ACL, and on coordinating the development of any amendments to the ACL. PRAC also conducts national consumer policy research. </w:t>
      </w:r>
    </w:p>
    <w:p w14:paraId="2B54BA8B" w14:textId="77777777" w:rsidR="00A67451" w:rsidRPr="006B78B6" w:rsidRDefault="00A67451" w:rsidP="00A67451">
      <w:pPr>
        <w:pStyle w:val="Bullet"/>
        <w:tabs>
          <w:tab w:val="clear" w:pos="520"/>
          <w:tab w:val="num" w:pos="567"/>
        </w:tabs>
        <w:ind w:left="567" w:hanging="567"/>
      </w:pPr>
      <w:r w:rsidRPr="00711986">
        <w:t xml:space="preserve">The </w:t>
      </w:r>
      <w:r>
        <w:rPr>
          <w:b/>
        </w:rPr>
        <w:t>Education and Information Advisory Committee (EIAC)</w:t>
      </w:r>
      <w:r>
        <w:t xml:space="preserve"> focuses on national cooperation and coordination for education and information activities relating to the ACL and consumer issues more generally.</w:t>
      </w:r>
    </w:p>
    <w:p w14:paraId="2B54BA8C" w14:textId="5E02A12A" w:rsidR="00A67451" w:rsidRDefault="00A67451" w:rsidP="00A67451">
      <w:pPr>
        <w:pStyle w:val="Bullet"/>
        <w:tabs>
          <w:tab w:val="clear" w:pos="520"/>
          <w:tab w:val="num" w:pos="567"/>
        </w:tabs>
        <w:ind w:left="567" w:hanging="567"/>
      </w:pPr>
      <w:r w:rsidRPr="00711986">
        <w:t>The</w:t>
      </w:r>
      <w:r>
        <w:rPr>
          <w:b/>
        </w:rPr>
        <w:t xml:space="preserve"> Compliance and Dispute Resolution Advisory Committee (CDRAC) </w:t>
      </w:r>
      <w:r>
        <w:t>focuses on national cooperation and coordination for compliance, dispute resolution and enforcement activities relating to the ACL. CDRAC is supported by a Fair Trading Operations Group (FTOG), which deals with day</w:t>
      </w:r>
      <w:r w:rsidR="00455542">
        <w:noBreakHyphen/>
      </w:r>
      <w:r>
        <w:t>to</w:t>
      </w:r>
      <w:r w:rsidR="00455542">
        <w:noBreakHyphen/>
      </w:r>
      <w:r>
        <w:t xml:space="preserve">day liaison on enforcement issues. </w:t>
      </w:r>
    </w:p>
    <w:p w14:paraId="2B54BA8D" w14:textId="77777777" w:rsidR="00A67451" w:rsidRDefault="00A67451" w:rsidP="00A67451">
      <w:pPr>
        <w:pStyle w:val="Bullet"/>
        <w:tabs>
          <w:tab w:val="clear" w:pos="520"/>
          <w:tab w:val="num" w:pos="567"/>
        </w:tabs>
        <w:ind w:left="567" w:hanging="567"/>
      </w:pPr>
      <w:r w:rsidRPr="00290D45">
        <w:t xml:space="preserve">The </w:t>
      </w:r>
      <w:r w:rsidRPr="00D8281B">
        <w:rPr>
          <w:b/>
        </w:rPr>
        <w:t>Product Safety Consultative Committee (PSCC</w:t>
      </w:r>
      <w:r>
        <w:rPr>
          <w:b/>
        </w:rPr>
        <w:t>)</w:t>
      </w:r>
      <w:r w:rsidRPr="006C62BF">
        <w:t xml:space="preserve"> </w:t>
      </w:r>
      <w:r>
        <w:t xml:space="preserve">provides a forum for regular engagement with state and territory consumer agencies on product safety policy, enforcement and awareness issues, and engages with the other committees as required. </w:t>
      </w:r>
    </w:p>
    <w:p w14:paraId="2B54BA8E" w14:textId="0405CCF8" w:rsidR="00A67451" w:rsidRDefault="00A67451" w:rsidP="00A67451">
      <w:r>
        <w:lastRenderedPageBreak/>
        <w:t>Governance papers outline the roles and governance arrangements for CAF, CAANZ and its advisory and consultative committees. This includes the terms of reference, decision</w:t>
      </w:r>
      <w:r w:rsidR="00455542">
        <w:noBreakHyphen/>
      </w:r>
      <w:r>
        <w:t xml:space="preserve">making responsibilities, accountabilities and reporting frameworks for the committees as well as the strategic agenda, goals and priorities for CAF and CAANZ. The governance papers are available at </w:t>
      </w:r>
      <w:hyperlink r:id="rId32" w:history="1">
        <w:r w:rsidR="00D040E4" w:rsidRPr="00140266">
          <w:rPr>
            <w:rStyle w:val="Hyperlink"/>
          </w:rPr>
          <w:t>www.consumerlaw.gov.au</w:t>
        </w:r>
      </w:hyperlink>
      <w:r w:rsidR="00455542">
        <w:t xml:space="preserve">. </w:t>
      </w:r>
      <w:r>
        <w:t xml:space="preserve">Figure 2 at Appendix 1 demonstrates the alignment of </w:t>
      </w:r>
      <w:r w:rsidR="00D040E4">
        <w:t xml:space="preserve">CAANZ </w:t>
      </w:r>
      <w:r w:rsidR="00CB54A8">
        <w:t>committee</w:t>
      </w:r>
      <w:r w:rsidR="00D040E4">
        <w:t>s</w:t>
      </w:r>
      <w:r w:rsidR="00CB54A8">
        <w:t>’</w:t>
      </w:r>
      <w:r w:rsidR="00D040E4">
        <w:t xml:space="preserve"> </w:t>
      </w:r>
      <w:r>
        <w:t xml:space="preserve">operational objectives </w:t>
      </w:r>
      <w:r w:rsidR="00D040E4">
        <w:t xml:space="preserve">with work </w:t>
      </w:r>
      <w:r w:rsidR="00CB54A8">
        <w:t>undertaken</w:t>
      </w:r>
      <w:r w:rsidR="00D040E4">
        <w:t xml:space="preserve"> in</w:t>
      </w:r>
      <w:r>
        <w:t xml:space="preserve"> 201</w:t>
      </w:r>
      <w:r w:rsidR="00D040E4">
        <w:t>2</w:t>
      </w:r>
      <w:r w:rsidR="00455542">
        <w:noBreakHyphen/>
      </w:r>
      <w:r>
        <w:t>1</w:t>
      </w:r>
      <w:r w:rsidR="00D040E4">
        <w:t>3</w:t>
      </w:r>
      <w:r>
        <w:t>.</w:t>
      </w:r>
    </w:p>
    <w:p w14:paraId="2B54BA8F" w14:textId="77777777" w:rsidR="00A67451" w:rsidRDefault="00A67451" w:rsidP="00A67451">
      <w:pPr>
        <w:pStyle w:val="Heading3"/>
      </w:pPr>
      <w:bookmarkStart w:id="53" w:name="_Toc342299511"/>
      <w:bookmarkStart w:id="54" w:name="_Toc342381479"/>
      <w:bookmarkStart w:id="55" w:name="_Toc370468052"/>
      <w:r>
        <w:t>Figure 1: CAF governance arrangements</w:t>
      </w:r>
      <w:bookmarkEnd w:id="53"/>
      <w:bookmarkEnd w:id="54"/>
      <w:bookmarkEnd w:id="55"/>
    </w:p>
    <w:p w14:paraId="2B54BA90" w14:textId="77777777" w:rsidR="00A67451" w:rsidRDefault="00A67451" w:rsidP="000705D6">
      <w:pPr>
        <w:spacing w:before="240" w:line="240" w:lineRule="auto"/>
        <w:jc w:val="center"/>
      </w:pPr>
      <w:r w:rsidRPr="00DF304A">
        <w:rPr>
          <w:noProof/>
        </w:rPr>
        <w:drawing>
          <wp:inline distT="0" distB="0" distL="0" distR="0" wp14:anchorId="2B54BC2B" wp14:editId="2B54BC2C">
            <wp:extent cx="5171429" cy="6428572"/>
            <wp:effectExtent l="0" t="0" r="0" b="0"/>
            <wp:docPr id="93" name="Picture 93" descr="Ministers responsible for consumer affairs are supported by CAANZ and its four advisory and consultative committees including the Policy and Research Advisory Committee (PRAC), the Education and Information Advisory Committee (EIAC), the Compliance and Dispute Resolution Advisory Committee, and the Product Safety Consultative Committee." title="COAG Legislative and Governance Forum on Consumer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71429" cy="6428572"/>
                    </a:xfrm>
                    <a:prstGeom prst="rect">
                      <a:avLst/>
                    </a:prstGeom>
                  </pic:spPr>
                </pic:pic>
              </a:graphicData>
            </a:graphic>
          </wp:inline>
        </w:drawing>
      </w:r>
    </w:p>
    <w:p w14:paraId="2B54BA91" w14:textId="77777777" w:rsidR="00EC0E7C" w:rsidRDefault="00EC0E7C" w:rsidP="00EC0E7C">
      <w:pPr>
        <w:spacing w:line="240" w:lineRule="auto"/>
        <w:sectPr w:rsidR="00EC0E7C" w:rsidSect="00E270D0">
          <w:headerReference w:type="even" r:id="rId34"/>
          <w:headerReference w:type="default" r:id="rId35"/>
          <w:headerReference w:type="first" r:id="rId36"/>
          <w:pgSz w:w="11906" w:h="16838" w:code="9"/>
          <w:pgMar w:top="1418" w:right="1418" w:bottom="1418" w:left="1418" w:header="709" w:footer="709" w:gutter="0"/>
          <w:pgNumType w:start="1"/>
          <w:cols w:space="708"/>
          <w:titlePg/>
          <w:docGrid w:linePitch="360"/>
        </w:sectPr>
      </w:pPr>
    </w:p>
    <w:p w14:paraId="2B54BA92" w14:textId="77777777" w:rsidR="00EC0E7C" w:rsidRDefault="00EC0E7C" w:rsidP="00EC0E7C">
      <w:pPr>
        <w:pStyle w:val="Heading1"/>
      </w:pPr>
      <w:bookmarkStart w:id="56" w:name="_Toc370468053"/>
      <w:r>
        <w:lastRenderedPageBreak/>
        <w:t>Consumer policy and research</w:t>
      </w:r>
      <w:bookmarkEnd w:id="56"/>
    </w:p>
    <w:tbl>
      <w:tblPr>
        <w:tblStyle w:val="TableGrid"/>
        <w:tblW w:w="0" w:type="auto"/>
        <w:tblLook w:val="04A0" w:firstRow="1" w:lastRow="0" w:firstColumn="1" w:lastColumn="0" w:noHBand="0" w:noVBand="1"/>
      </w:tblPr>
      <w:tblGrid>
        <w:gridCol w:w="9286"/>
      </w:tblGrid>
      <w:tr w:rsidR="00EC0E7C" w14:paraId="2B54BA95" w14:textId="77777777" w:rsidTr="00EC0E7C">
        <w:tc>
          <w:tcPr>
            <w:tcW w:w="9286" w:type="dxa"/>
          </w:tcPr>
          <w:p w14:paraId="2B54BA93" w14:textId="77777777" w:rsidR="00EC0E7C" w:rsidRDefault="00EC0E7C" w:rsidP="00EC0E7C">
            <w:pPr>
              <w:pStyle w:val="BoxHeading"/>
              <w:jc w:val="left"/>
            </w:pPr>
            <w:bookmarkStart w:id="57" w:name="_Toc342299513"/>
            <w:r>
              <w:t>Summary</w:t>
            </w:r>
            <w:bookmarkEnd w:id="57"/>
          </w:p>
          <w:p w14:paraId="2B54BA94" w14:textId="06C70CC2" w:rsidR="00EC0E7C" w:rsidRDefault="00EC0E7C" w:rsidP="00CF34FE">
            <w:pPr>
              <w:pStyle w:val="BoxText"/>
            </w:pPr>
            <w:r>
              <w:t>In 2012</w:t>
            </w:r>
            <w:r w:rsidR="00455542">
              <w:noBreakHyphen/>
            </w:r>
            <w:r>
              <w:t xml:space="preserve">13, consumer agencies have continued work to </w:t>
            </w:r>
            <w:r w:rsidR="00886538">
              <w:t>build on the consumer policy evidence base</w:t>
            </w:r>
            <w:r>
              <w:t xml:space="preserve">, strengthen and improve Australia’s consumer </w:t>
            </w:r>
            <w:r w:rsidRPr="00F52602">
              <w:t>protection</w:t>
            </w:r>
            <w:r>
              <w:t xml:space="preserve"> framework and deliver on strategic goals. Key work included the formation of a working party to progress travel services reform, consideration of petrol price board signage, commencement of preparation for the scheduled 2016 </w:t>
            </w:r>
            <w:r w:rsidR="002F72D0">
              <w:t>implementation</w:t>
            </w:r>
            <w:r>
              <w:t xml:space="preserve"> review of</w:t>
            </w:r>
            <w:r w:rsidR="002F72D0">
              <w:t xml:space="preserve"> the</w:t>
            </w:r>
            <w:r>
              <w:t xml:space="preserve"> ACL and consideration of component pricing amendments.</w:t>
            </w:r>
          </w:p>
        </w:tc>
      </w:tr>
    </w:tbl>
    <w:p w14:paraId="2B54BA96" w14:textId="77777777" w:rsidR="00EC0E7C" w:rsidRDefault="00EC0E7C" w:rsidP="00EC0E7C">
      <w:pPr>
        <w:pStyle w:val="Heading2"/>
      </w:pPr>
      <w:bookmarkStart w:id="58" w:name="_Toc367715259"/>
      <w:bookmarkStart w:id="59" w:name="_Toc370468054"/>
      <w:r>
        <w:t>Overview</w:t>
      </w:r>
      <w:bookmarkEnd w:id="58"/>
      <w:bookmarkEnd w:id="59"/>
    </w:p>
    <w:p w14:paraId="2B54BA97" w14:textId="77777777" w:rsidR="00AA4BA3" w:rsidRDefault="00EC0E7C" w:rsidP="00EC0E7C">
      <w:pPr>
        <w:rPr>
          <w:lang w:val="en"/>
        </w:rPr>
      </w:pPr>
      <w:r>
        <w:t>Following the ACL’s commencement on 1 January 2011, PRAC has continued work to build on the consumer policy evidence base and has commenced preliminary work to support the scheduled 2016</w:t>
      </w:r>
      <w:r w:rsidR="00AA4BA3">
        <w:t xml:space="preserve"> implementation</w:t>
      </w:r>
      <w:r>
        <w:t xml:space="preserve"> review of the ACL</w:t>
      </w:r>
      <w:r w:rsidR="00AA4BA3">
        <w:t>.</w:t>
      </w:r>
    </w:p>
    <w:p w14:paraId="2B54BA98" w14:textId="2C43F601" w:rsidR="00EC0E7C" w:rsidRDefault="00EC0E7C" w:rsidP="00EC0E7C">
      <w:pPr>
        <w:rPr>
          <w:lang w:val="en"/>
        </w:rPr>
      </w:pPr>
      <w:r w:rsidRPr="00E8437A">
        <w:rPr>
          <w:lang w:val="en"/>
        </w:rPr>
        <w:t xml:space="preserve">PRAC has progressed work on a range of projects </w:t>
      </w:r>
      <w:r w:rsidR="00AA4BA3">
        <w:rPr>
          <w:lang w:val="en"/>
        </w:rPr>
        <w:t>to r</w:t>
      </w:r>
      <w:r w:rsidR="00AA4BA3" w:rsidRPr="00E8437A">
        <w:rPr>
          <w:lang w:val="en"/>
        </w:rPr>
        <w:t>educ</w:t>
      </w:r>
      <w:r w:rsidR="00AA4BA3">
        <w:rPr>
          <w:lang w:val="en"/>
        </w:rPr>
        <w:t>e</w:t>
      </w:r>
      <w:r w:rsidR="00AA4BA3" w:rsidRPr="00E8437A">
        <w:rPr>
          <w:lang w:val="en"/>
        </w:rPr>
        <w:t xml:space="preserve"> business compliance costs by removing unnecessary</w:t>
      </w:r>
      <w:r w:rsidR="00AA4BA3">
        <w:rPr>
          <w:lang w:val="en"/>
        </w:rPr>
        <w:t>, outdated</w:t>
      </w:r>
      <w:r w:rsidR="00AA4BA3" w:rsidRPr="00E8437A">
        <w:rPr>
          <w:lang w:val="en"/>
        </w:rPr>
        <w:t xml:space="preserve"> or inconsistent regulation</w:t>
      </w:r>
      <w:r w:rsidR="00455542">
        <w:rPr>
          <w:lang w:val="en"/>
        </w:rPr>
        <w:t xml:space="preserve">. </w:t>
      </w:r>
      <w:r w:rsidR="00AA4BA3">
        <w:rPr>
          <w:lang w:val="en"/>
        </w:rPr>
        <w:t xml:space="preserve">This has </w:t>
      </w:r>
      <w:r w:rsidRPr="00E8437A">
        <w:rPr>
          <w:lang w:val="en"/>
        </w:rPr>
        <w:t>includ</w:t>
      </w:r>
      <w:r w:rsidR="00AA4BA3">
        <w:rPr>
          <w:lang w:val="en"/>
        </w:rPr>
        <w:t>ed</w:t>
      </w:r>
      <w:r>
        <w:rPr>
          <w:lang w:val="en"/>
        </w:rPr>
        <w:t xml:space="preserve"> facilitating amendments to reduce compliance costs for the café and restaurant sector in relation to menu surcharges, examining </w:t>
      </w:r>
      <w:r w:rsidR="00AA4BA3">
        <w:rPr>
          <w:lang w:val="en"/>
        </w:rPr>
        <w:t xml:space="preserve">the consistency of </w:t>
      </w:r>
      <w:r>
        <w:rPr>
          <w:lang w:val="en"/>
        </w:rPr>
        <w:t xml:space="preserve">information </w:t>
      </w:r>
      <w:r w:rsidR="00AA4BA3">
        <w:rPr>
          <w:lang w:val="en"/>
        </w:rPr>
        <w:t>that is</w:t>
      </w:r>
      <w:r>
        <w:rPr>
          <w:lang w:val="en"/>
        </w:rPr>
        <w:t xml:space="preserve"> provided to consumers on fuel price boards and developing guidelines to ensure that legislation remains consistent with the ACL.</w:t>
      </w:r>
      <w:r w:rsidRPr="00E8437A">
        <w:rPr>
          <w:lang w:val="en"/>
        </w:rPr>
        <w:t xml:space="preserve"> </w:t>
      </w:r>
    </w:p>
    <w:p w14:paraId="2B54BA99" w14:textId="67C8D36A" w:rsidR="00EC0E7C" w:rsidRDefault="00EC0E7C" w:rsidP="00EC0E7C">
      <w:pPr>
        <w:pStyle w:val="Heading3"/>
      </w:pPr>
      <w:bookmarkStart w:id="60" w:name="_Toc342299515"/>
      <w:bookmarkStart w:id="61" w:name="_Toc342381482"/>
      <w:bookmarkStart w:id="62" w:name="_Toc370468055"/>
      <w:r>
        <w:t>Strengthening the evidence</w:t>
      </w:r>
      <w:r w:rsidR="00455542">
        <w:noBreakHyphen/>
      </w:r>
      <w:r>
        <w:t>based approach to consumer policy</w:t>
      </w:r>
      <w:bookmarkEnd w:id="60"/>
      <w:bookmarkEnd w:id="61"/>
      <w:bookmarkEnd w:id="62"/>
    </w:p>
    <w:p w14:paraId="2B54BA9A" w14:textId="542F9F49" w:rsidR="00EC0E7C" w:rsidRDefault="00EC0E7C" w:rsidP="00EC0E7C">
      <w:r w:rsidRPr="006328C4">
        <w:t>A central role for PRAC is</w:t>
      </w:r>
      <w:r w:rsidR="00E5627B">
        <w:t xml:space="preserve"> to</w:t>
      </w:r>
      <w:r w:rsidRPr="006328C4">
        <w:t xml:space="preserve"> </w:t>
      </w:r>
      <w:r>
        <w:t>support the consideration of consumer policy issues</w:t>
      </w:r>
      <w:r w:rsidRPr="006328C4">
        <w:t xml:space="preserve"> </w:t>
      </w:r>
      <w:r>
        <w:t xml:space="preserve">through </w:t>
      </w:r>
      <w:r w:rsidRPr="006328C4">
        <w:t>an evidence</w:t>
      </w:r>
      <w:r w:rsidR="00455542">
        <w:noBreakHyphen/>
      </w:r>
      <w:r w:rsidRPr="006328C4">
        <w:t>based approach</w:t>
      </w:r>
      <w:r w:rsidR="00455542">
        <w:t xml:space="preserve">. </w:t>
      </w:r>
      <w:r>
        <w:t>In 2012</w:t>
      </w:r>
      <w:r w:rsidR="00455542">
        <w:noBreakHyphen/>
      </w:r>
      <w:r>
        <w:t>13</w:t>
      </w:r>
      <w:r w:rsidR="00016F6E">
        <w:t>,</w:t>
      </w:r>
      <w:r>
        <w:t xml:space="preserve"> PRAC has progressed work to strengthen and build on existing poli</w:t>
      </w:r>
      <w:r w:rsidR="00E5627B">
        <w:t>cy frameworks and to plan for</w:t>
      </w:r>
      <w:r>
        <w:t xml:space="preserve"> further consumer policy research.</w:t>
      </w:r>
    </w:p>
    <w:p w14:paraId="2B54BA9B" w14:textId="58529BD5" w:rsidR="00EC0E7C" w:rsidRDefault="00EC0E7C" w:rsidP="00EC0E7C">
      <w:r>
        <w:t xml:space="preserve">Preliminary planning for the scheduled 2016 </w:t>
      </w:r>
      <w:r w:rsidR="00401487">
        <w:t xml:space="preserve">implementation </w:t>
      </w:r>
      <w:r>
        <w:t xml:space="preserve">review of the ACL commenced with PRAC </w:t>
      </w:r>
      <w:r w:rsidR="00401487">
        <w:t xml:space="preserve">developing and seeking agreement </w:t>
      </w:r>
      <w:r w:rsidR="002F72D0">
        <w:t>on</w:t>
      </w:r>
      <w:r w:rsidR="00401487">
        <w:t xml:space="preserve"> the governance arrangements </w:t>
      </w:r>
      <w:r>
        <w:t>to support the review</w:t>
      </w:r>
      <w:r w:rsidR="00455542">
        <w:t xml:space="preserve">. </w:t>
      </w:r>
      <w:r>
        <w:t>This include</w:t>
      </w:r>
      <w:r w:rsidR="002F72D0">
        <w:t>d</w:t>
      </w:r>
      <w:r>
        <w:t xml:space="preserve"> planning for the necessary evidence base to support an informed</w:t>
      </w:r>
      <w:r w:rsidR="00401487">
        <w:t xml:space="preserve"> implementation</w:t>
      </w:r>
      <w:r>
        <w:t xml:space="preserve"> review of the performance of Australia’s consumer protection framework</w:t>
      </w:r>
      <w:r w:rsidR="00401487">
        <w:t>.</w:t>
      </w:r>
      <w:r>
        <w:t xml:space="preserve"> </w:t>
      </w:r>
      <w:r w:rsidR="0019261D">
        <w:t>C</w:t>
      </w:r>
      <w:r w:rsidR="00401487">
        <w:t>onsideration</w:t>
      </w:r>
      <w:r w:rsidR="0019261D">
        <w:t xml:space="preserve"> has been given as to what data sets will required to support the review, including in relation to</w:t>
      </w:r>
      <w:r>
        <w:t xml:space="preserve"> complaints, education and engagement activities,</w:t>
      </w:r>
      <w:r w:rsidR="00401487">
        <w:t xml:space="preserve"> and</w:t>
      </w:r>
      <w:r>
        <w:t xml:space="preserve"> compliance and enforcement activities</w:t>
      </w:r>
      <w:r w:rsidR="00401487">
        <w:t>.</w:t>
      </w:r>
    </w:p>
    <w:p w14:paraId="2B54BA9C" w14:textId="196E7F31" w:rsidR="00EC0E7C" w:rsidRDefault="00EC0E7C" w:rsidP="00EC0E7C">
      <w:r>
        <w:t>PRAC has also had the opportunity to consider consumer research on a range of topics including the Commonwealth Consumer Affairs Advisory Council’s (CCAAC) review of app purchases on mobile and handheld devices and the Consumer Action Law Centre’s (CALC) Regulator Watch report</w:t>
      </w:r>
      <w:r w:rsidR="00455542">
        <w:t xml:space="preserve">. </w:t>
      </w:r>
      <w:r>
        <w:t>PRAC members were also afforded the opportunity to engage with consumer advocacy organisation</w:t>
      </w:r>
      <w:r w:rsidR="00401487">
        <w:t>s</w:t>
      </w:r>
      <w:r>
        <w:t xml:space="preserve"> at the 2013 National Consumer Congress.</w:t>
      </w:r>
    </w:p>
    <w:p w14:paraId="2B54BA9D" w14:textId="61646758" w:rsidR="00EC0E7C" w:rsidRDefault="006D3F68" w:rsidP="00EC0E7C">
      <w:r>
        <w:t xml:space="preserve">An important guide used by </w:t>
      </w:r>
      <w:r w:rsidR="00EC0E7C">
        <w:t>PRAC members</w:t>
      </w:r>
      <w:r>
        <w:t xml:space="preserve"> is the </w:t>
      </w:r>
      <w:r w:rsidR="00EC0E7C">
        <w:t>Organisation for Economic Co</w:t>
      </w:r>
      <w:r w:rsidR="00455542">
        <w:noBreakHyphen/>
      </w:r>
      <w:r w:rsidR="00EC0E7C">
        <w:t xml:space="preserve">operation and Development’s (OECD’s) </w:t>
      </w:r>
      <w:r w:rsidR="00EC0E7C" w:rsidRPr="006B795B">
        <w:rPr>
          <w:i/>
        </w:rPr>
        <w:t>Consumer Policy Toolkit</w:t>
      </w:r>
      <w:r>
        <w:rPr>
          <w:i/>
        </w:rPr>
        <w:t xml:space="preserve"> </w:t>
      </w:r>
      <w:r>
        <w:t>(the Toolkit)</w:t>
      </w:r>
      <w:r w:rsidR="00455542">
        <w:t xml:space="preserve">. </w:t>
      </w:r>
      <w:r>
        <w:t>The Toolkit provides a framework for understanding consumer issues, as well as for developing policy responses</w:t>
      </w:r>
      <w:r w:rsidR="00455542">
        <w:t xml:space="preserve">. </w:t>
      </w:r>
      <w:r>
        <w:t xml:space="preserve">PRAC members continued to apply and advocate for the approach to consumer policy </w:t>
      </w:r>
      <w:r>
        <w:lastRenderedPageBreak/>
        <w:t>making outlined within the Toolkit, including by ensuring that policy development is evidence based</w:t>
      </w:r>
      <w:r w:rsidR="00455542">
        <w:t xml:space="preserve">. </w:t>
      </w:r>
      <w:r w:rsidR="00086D13">
        <w:t xml:space="preserve">In doing so, PRAC developed a formal process for considering new policy issues so that agencies can apply the Toolkit’s key principles when presenting </w:t>
      </w:r>
      <w:r w:rsidR="006A5E2C">
        <w:t xml:space="preserve">issues </w:t>
      </w:r>
      <w:r w:rsidR="00086D13">
        <w:t>to jurisdictions for further consideration.</w:t>
      </w:r>
    </w:p>
    <w:p w14:paraId="2B54BA9E" w14:textId="77777777" w:rsidR="00EC0E7C" w:rsidRDefault="00EC0E7C" w:rsidP="00EC0E7C">
      <w:pPr>
        <w:pStyle w:val="Heading3"/>
      </w:pPr>
      <w:bookmarkStart w:id="63" w:name="_Toc370468056"/>
      <w:r>
        <w:t>Implementing amendments to the ACL and reducing compliance costs</w:t>
      </w:r>
      <w:bookmarkEnd w:id="63"/>
    </w:p>
    <w:p w14:paraId="2B54BA9F" w14:textId="77777777" w:rsidR="00EC0E7C" w:rsidRDefault="00EC0E7C" w:rsidP="00EC0E7C">
      <w:r>
        <w:t>In its monitoring and maintenance role</w:t>
      </w:r>
      <w:r w:rsidR="00401487">
        <w:t xml:space="preserve"> for the ACL</w:t>
      </w:r>
      <w:r>
        <w:t xml:space="preserve">, </w:t>
      </w:r>
      <w:r w:rsidRPr="00724816">
        <w:t xml:space="preserve">PRAC </w:t>
      </w:r>
      <w:r>
        <w:t>facilitated</w:t>
      </w:r>
      <w:r w:rsidRPr="00724816">
        <w:t xml:space="preserve"> amendments to </w:t>
      </w:r>
      <w:r>
        <w:t>provide a conditional exemption to restaurant and café menu surcharges on specified days</w:t>
      </w:r>
      <w:r w:rsidR="00132A59">
        <w:t xml:space="preserve"> (see Case study 1)</w:t>
      </w:r>
      <w:r>
        <w:t>.</w:t>
      </w:r>
    </w:p>
    <w:p w14:paraId="2B54BAA0" w14:textId="77777777" w:rsidR="00EC0E7C" w:rsidRDefault="00EC0E7C" w:rsidP="00EC0E7C">
      <w:r>
        <w:t xml:space="preserve">PRAC considered the Productivity Commission’s recommendation to exempt restaurants and café menus from the component pricing provisions of the ACL. The component pricing provisions of the ACL require businesses making price representations to provide, in a prominent way and as a single figure, the single price for the goods or services. Prior to the amendments made this year, the component pricing provisions covered percentage surcharges applied by restaurants and </w:t>
      </w:r>
      <w:r w:rsidR="002F72D0">
        <w:t xml:space="preserve">cafés </w:t>
      </w:r>
      <w:r>
        <w:t>on public holidays and weekends.</w:t>
      </w:r>
    </w:p>
    <w:tbl>
      <w:tblPr>
        <w:tblStyle w:val="TableGrid"/>
        <w:tblW w:w="0" w:type="auto"/>
        <w:tblLook w:val="04A0" w:firstRow="1" w:lastRow="0" w:firstColumn="1" w:lastColumn="0" w:noHBand="0" w:noVBand="1"/>
      </w:tblPr>
      <w:tblGrid>
        <w:gridCol w:w="9286"/>
      </w:tblGrid>
      <w:tr w:rsidR="00EC0E7C" w14:paraId="2B54BAA6" w14:textId="77777777" w:rsidTr="00EC0E7C">
        <w:tc>
          <w:tcPr>
            <w:tcW w:w="9286" w:type="dxa"/>
          </w:tcPr>
          <w:p w14:paraId="2B54BAA1" w14:textId="77777777" w:rsidR="00EC0E7C" w:rsidRPr="00EC0E7C" w:rsidRDefault="00EC0E7C" w:rsidP="00CF34FE">
            <w:pPr>
              <w:pStyle w:val="BoxHeading"/>
            </w:pPr>
            <w:r w:rsidRPr="00EC0E7C">
              <w:lastRenderedPageBreak/>
              <w:t xml:space="preserve">Case study </w:t>
            </w:r>
            <w:r w:rsidR="00795FCA">
              <w:t>1</w:t>
            </w:r>
            <w:r w:rsidRPr="00EC0E7C">
              <w:t xml:space="preserve"> — Component pricing amendments</w:t>
            </w:r>
          </w:p>
          <w:p w14:paraId="2B54BAA2" w14:textId="74268100" w:rsidR="00EC0E7C" w:rsidRDefault="00EC0E7C" w:rsidP="00CF34FE">
            <w:pPr>
              <w:pStyle w:val="BoxText"/>
            </w:pPr>
            <w:r>
              <w:t xml:space="preserve">In its 2010 </w:t>
            </w:r>
            <w:r w:rsidRPr="00B70D91">
              <w:rPr>
                <w:i/>
              </w:rPr>
              <w:t>Annual Review of Regulatory Burdens on Business: Business and Consumer Services</w:t>
            </w:r>
            <w:r>
              <w:t xml:space="preserve"> (the Report), the Productivity Commission recommended that restaurant and café menu surcharges for specific days be placed outside the scope of the component pricing provision of the then </w:t>
            </w:r>
            <w:r w:rsidRPr="00711058">
              <w:rPr>
                <w:i/>
              </w:rPr>
              <w:t>Trade Practices Act 1974</w:t>
            </w:r>
            <w:r>
              <w:t xml:space="preserve"> (which is now contained within the ACL)</w:t>
            </w:r>
            <w:r w:rsidR="00455542">
              <w:t xml:space="preserve">. </w:t>
            </w:r>
            <w:r>
              <w:t>The intention of this recommendation was to reduce red tape for restaurants and cafes by allowing them to continue to be able to apply weekend or public holiday surcharges by listing the surcharge as a percentage of the final bill.</w:t>
            </w:r>
          </w:p>
          <w:p w14:paraId="2B54BAA3" w14:textId="3A20B2D4" w:rsidR="00EC0E7C" w:rsidRDefault="00EC0E7C" w:rsidP="00CF34FE">
            <w:pPr>
              <w:pStyle w:val="BoxText"/>
            </w:pPr>
            <w:r>
              <w:t xml:space="preserve">To support state and territory Ministers’ consideration of the Productivity Commission recommendation; </w:t>
            </w:r>
            <w:r w:rsidR="00F92B37">
              <w:t>PRAC facilitated consultation with consumer and industry stakeholders. Further consultation occurred when e</w:t>
            </w:r>
            <w:r>
              <w:t xml:space="preserve">xposure drafts of legislative amendments and amendments to the </w:t>
            </w:r>
            <w:r w:rsidRPr="00336489">
              <w:rPr>
                <w:i/>
              </w:rPr>
              <w:t>Competition and Consumer Regulations 2010</w:t>
            </w:r>
            <w:r>
              <w:t xml:space="preserve"> were</w:t>
            </w:r>
            <w:r w:rsidR="00F92B37">
              <w:t xml:space="preserve"> </w:t>
            </w:r>
            <w:r>
              <w:t>released</w:t>
            </w:r>
            <w:r w:rsidR="00455542">
              <w:t xml:space="preserve">. </w:t>
            </w:r>
            <w:r>
              <w:t xml:space="preserve">The final </w:t>
            </w:r>
            <w:proofErr w:type="gramStart"/>
            <w:r>
              <w:t>form of the amendments were</w:t>
            </w:r>
            <w:proofErr w:type="gramEnd"/>
            <w:r>
              <w:t xml:space="preserve"> developed in close consultation with PRAC members.</w:t>
            </w:r>
          </w:p>
          <w:p w14:paraId="2B54BAA4" w14:textId="77777777" w:rsidR="00EC0E7C" w:rsidRDefault="00EC0E7C" w:rsidP="00CF34FE">
            <w:pPr>
              <w:pStyle w:val="BoxText"/>
            </w:pPr>
            <w:r>
              <w:t xml:space="preserve">Following a successful vote under the </w:t>
            </w:r>
            <w:r>
              <w:rPr>
                <w:i/>
              </w:rPr>
              <w:t xml:space="preserve">Intergovernmental Agreement for the Australian Consumer Law </w:t>
            </w:r>
            <w:r w:rsidRPr="00336489">
              <w:t>2009</w:t>
            </w:r>
            <w:r>
              <w:t xml:space="preserve"> (IGA), t</w:t>
            </w:r>
            <w:r w:rsidRPr="00336489">
              <w:t>he</w:t>
            </w:r>
            <w:r>
              <w:t xml:space="preserve"> </w:t>
            </w:r>
            <w:r w:rsidRPr="00C305ED">
              <w:rPr>
                <w:i/>
              </w:rPr>
              <w:t xml:space="preserve">Competition and Consumer Amendment </w:t>
            </w:r>
            <w:r>
              <w:rPr>
                <w:i/>
              </w:rPr>
              <w:t>Act 2013</w:t>
            </w:r>
            <w:r>
              <w:t xml:space="preserve"> (the Act) was introduced into the Commonwealth Parliament on 29 May 2013. The Act amended the component pricing provision in the ACL to insert a regulations making power to enable regulations to be made to exempt certain representations from the component pricing requirement in the ACL.</w:t>
            </w:r>
          </w:p>
          <w:p w14:paraId="2B54BAA5" w14:textId="77F638AB" w:rsidR="00EC0E7C" w:rsidRDefault="00EC0E7C" w:rsidP="00CF34FE">
            <w:pPr>
              <w:pStyle w:val="BoxText"/>
            </w:pPr>
            <w:r>
              <w:t>The Act passed the Parliament and received the Royal Assent on 29 June 2013 and came into effect on 30 June 2013</w:t>
            </w:r>
            <w:r w:rsidR="00455542">
              <w:t xml:space="preserve">. </w:t>
            </w:r>
            <w:r>
              <w:t>Following passage of the Act, the</w:t>
            </w:r>
            <w:r w:rsidRPr="00DE5CA0">
              <w:rPr>
                <w:i/>
              </w:rPr>
              <w:t xml:space="preserve"> Competition and Consumer</w:t>
            </w:r>
            <w:r>
              <w:rPr>
                <w:i/>
              </w:rPr>
              <w:t xml:space="preserve"> Amendment Regulation 2013 (No. </w:t>
            </w:r>
            <w:r w:rsidRPr="00DE5CA0">
              <w:rPr>
                <w:i/>
              </w:rPr>
              <w:t>3)</w:t>
            </w:r>
            <w:r>
              <w:t xml:space="preserve"> was</w:t>
            </w:r>
            <w:r w:rsidRPr="002A1BE8">
              <w:t xml:space="preserve"> registered on the Federal Register of Legislative Instruments on 16 July 2013 and commenced on 17 July 2013</w:t>
            </w:r>
            <w:r w:rsidR="00455542">
              <w:t xml:space="preserve">. </w:t>
            </w:r>
            <w:r w:rsidRPr="002A1BE8">
              <w:t>The Regulation provides a conditional exemption to restaurant and café menu surcharges for specific days from the component pricing requirement in the ACL</w:t>
            </w:r>
            <w:r w:rsidR="00455542">
              <w:t xml:space="preserve">. </w:t>
            </w:r>
            <w:r w:rsidR="00676CF0">
              <w:t>To receive the exemption, the percentage amount must be clearly indicated</w:t>
            </w:r>
            <w:r w:rsidR="007C7A90">
              <w:t xml:space="preserve"> on the menu in the prescribed manner.</w:t>
            </w:r>
          </w:p>
        </w:tc>
      </w:tr>
    </w:tbl>
    <w:p w14:paraId="2B54BAA7" w14:textId="77777777" w:rsidR="007B587A" w:rsidRDefault="007B587A" w:rsidP="007B587A">
      <w:pPr>
        <w:pStyle w:val="Heading3"/>
      </w:pPr>
      <w:bookmarkStart w:id="64" w:name="_Toc370468057"/>
      <w:r>
        <w:t>Supporting a nationally consistent approach to consumer protection challenges</w:t>
      </w:r>
      <w:bookmarkEnd w:id="64"/>
      <w:r>
        <w:t xml:space="preserve"> </w:t>
      </w:r>
    </w:p>
    <w:p w14:paraId="2B54BAA8" w14:textId="2EA0E159" w:rsidR="007B587A" w:rsidRDefault="00441A23" w:rsidP="00CF34FE">
      <w:r w:rsidRPr="00441A23">
        <w:t>In 2012</w:t>
      </w:r>
      <w:r w:rsidR="00455542">
        <w:noBreakHyphen/>
      </w:r>
      <w:r w:rsidRPr="00441A23">
        <w:t xml:space="preserve">13, PRAC progressed work on the Travel Industry Transition Plan (the Transition Plan) which </w:t>
      </w:r>
      <w:r w:rsidR="00A56A37">
        <w:t xml:space="preserve">is expected to </w:t>
      </w:r>
      <w:r w:rsidRPr="00441A23">
        <w:t>reduce the regulatory burden on the travel services sector</w:t>
      </w:r>
      <w:r w:rsidR="00A56A37">
        <w:t xml:space="preserve"> (see Case study 2)</w:t>
      </w:r>
      <w:r w:rsidR="00455542">
        <w:t xml:space="preserve">. </w:t>
      </w:r>
      <w:r w:rsidRPr="00441A23">
        <w:t>The Transition Plan was approved in light of significant changes in the travel services market and the enhanced consumer protections of the ACL</w:t>
      </w:r>
      <w:r w:rsidR="00455542">
        <w:t xml:space="preserve">. </w:t>
      </w:r>
      <w:r w:rsidRPr="00441A23">
        <w:t>As part of the Transition Plan, a one</w:t>
      </w:r>
      <w:r w:rsidR="00455542">
        <w:noBreakHyphen/>
      </w:r>
      <w:r w:rsidRPr="00441A23">
        <w:t>off grant of almost $2.8 million will be provided to fund the establishment and first year of operation of an industry</w:t>
      </w:r>
      <w:r w:rsidR="00455542">
        <w:noBreakHyphen/>
      </w:r>
      <w:r w:rsidRPr="00441A23">
        <w:t>led accreditation scheme. A similar amount has been approved for the purposes of consumer research and advocacy initiatives, to be decided on through a contestable grants process.</w:t>
      </w:r>
    </w:p>
    <w:tbl>
      <w:tblPr>
        <w:tblStyle w:val="TableGrid"/>
        <w:tblW w:w="0" w:type="auto"/>
        <w:tblLook w:val="04A0" w:firstRow="1" w:lastRow="0" w:firstColumn="1" w:lastColumn="0" w:noHBand="0" w:noVBand="1"/>
      </w:tblPr>
      <w:tblGrid>
        <w:gridCol w:w="9286"/>
      </w:tblGrid>
      <w:tr w:rsidR="00441A23" w14:paraId="2B54BAB0" w14:textId="77777777" w:rsidTr="00441A23">
        <w:tc>
          <w:tcPr>
            <w:tcW w:w="9286" w:type="dxa"/>
          </w:tcPr>
          <w:p w14:paraId="2B54BAA9" w14:textId="77777777" w:rsidR="00441A23" w:rsidRPr="00EC0E7C" w:rsidRDefault="00441A23" w:rsidP="00CF34FE">
            <w:pPr>
              <w:pStyle w:val="BoxHeading"/>
            </w:pPr>
            <w:r w:rsidRPr="00EC0E7C">
              <w:lastRenderedPageBreak/>
              <w:t xml:space="preserve">Case study </w:t>
            </w:r>
            <w:r>
              <w:t>2</w:t>
            </w:r>
            <w:r w:rsidRPr="00EC0E7C">
              <w:t xml:space="preserve"> — </w:t>
            </w:r>
            <w:r>
              <w:t>Voluntary industry accreditation</w:t>
            </w:r>
            <w:r w:rsidR="00A56A37">
              <w:t xml:space="preserve"> and travel services reform</w:t>
            </w:r>
          </w:p>
          <w:p w14:paraId="2B54BAAA" w14:textId="77777777" w:rsidR="00441A23" w:rsidRDefault="00441A23" w:rsidP="00CF34FE">
            <w:pPr>
              <w:pStyle w:val="BoxText"/>
            </w:pPr>
            <w:r>
              <w:t xml:space="preserve">On 7 December 2012, a majority of CAF Ministers approved a Travel Industry Transition Plan setting out reforms to travel agents’ regulation. The Transition Plan was developed in collaboration with all </w:t>
            </w:r>
            <w:r w:rsidR="00162FE5">
              <w:t>states and t</w:t>
            </w:r>
            <w:r>
              <w:t xml:space="preserve">erritories and was the subject of a public consultation in August 2012. </w:t>
            </w:r>
          </w:p>
          <w:p w14:paraId="2B54BAAB" w14:textId="77777777" w:rsidR="00441A23" w:rsidRDefault="00441A23" w:rsidP="00CF34FE">
            <w:pPr>
              <w:pStyle w:val="BoxText"/>
            </w:pPr>
            <w:r>
              <w:t>All states and territories cooperated to ensure that key acti</w:t>
            </w:r>
            <w:r w:rsidR="00E93361">
              <w:t>vities were completed by 1 July </w:t>
            </w:r>
            <w:r>
              <w:t xml:space="preserve">2013 as part of the first phase of implementing the Transition Plan. These consisted of: </w:t>
            </w:r>
          </w:p>
          <w:p w14:paraId="2B54BAAC" w14:textId="4BD3F0B9" w:rsidR="00441A23" w:rsidRDefault="00441A23" w:rsidP="00CF34FE">
            <w:pPr>
              <w:pStyle w:val="BoxBullet"/>
            </w:pPr>
            <w:r>
              <w:t>developing and endorsing a Substitution Trust Deed to replace the existing Travel Co</w:t>
            </w:r>
            <w:r w:rsidR="00E270D0">
              <w:t>mpensation Fund Trust Deed; and</w:t>
            </w:r>
          </w:p>
          <w:p w14:paraId="2B54BAAD" w14:textId="77777777" w:rsidR="00441A23" w:rsidRDefault="00441A23" w:rsidP="00CF34FE">
            <w:pPr>
              <w:pStyle w:val="BoxBullet"/>
            </w:pPr>
            <w:proofErr w:type="gramStart"/>
            <w:r>
              <w:t>issuing</w:t>
            </w:r>
            <w:proofErr w:type="gramEnd"/>
            <w:r>
              <w:t xml:space="preserve"> formal withdrawal notices from the existing national regulatory scheme for travel agents. </w:t>
            </w:r>
          </w:p>
          <w:p w14:paraId="2B54BAAE" w14:textId="77777777" w:rsidR="00441A23" w:rsidRDefault="00441A23" w:rsidP="00CF34FE">
            <w:pPr>
              <w:pStyle w:val="BoxBullet"/>
            </w:pPr>
            <w:r>
              <w:t xml:space="preserve">These activities were supported by a coordinated communications campaign overseen by EIAC representatives, including a dedicated </w:t>
            </w:r>
            <w:r w:rsidR="00E93361">
              <w:t>web page hosted on the ACL website (located at:</w:t>
            </w:r>
            <w:r>
              <w:t xml:space="preserve"> www.consumer</w:t>
            </w:r>
            <w:r w:rsidR="00162FE5">
              <w:t>law</w:t>
            </w:r>
            <w:r>
              <w:t>.gov.au</w:t>
            </w:r>
            <w:r w:rsidR="00E93361">
              <w:t>)</w:t>
            </w:r>
            <w:r>
              <w:t xml:space="preserve">, social media posts, FAQs and trade articles. </w:t>
            </w:r>
          </w:p>
          <w:p w14:paraId="2B54BAAF" w14:textId="77777777" w:rsidR="00441A23" w:rsidRDefault="00441A23" w:rsidP="00CF34FE">
            <w:pPr>
              <w:pStyle w:val="BoxText"/>
            </w:pPr>
            <w:r>
              <w:t>PRAC also convened a consultative committee to provide the Australian Federation of Travel Agents with a monthly forum to consult with consumer protection regulators, consumer advocate C</w:t>
            </w:r>
            <w:r w:rsidR="00E93361">
              <w:t>HOICE</w:t>
            </w:r>
            <w:r>
              <w:t xml:space="preserve"> and the Department of Resources, Energy and Tourism on its proposed voluntary industry accreditation scheme and address any regulatory concerns prior to the intended launch of its scheme in 2014.</w:t>
            </w:r>
          </w:p>
        </w:tc>
      </w:tr>
    </w:tbl>
    <w:p w14:paraId="770D8414" w14:textId="77777777" w:rsidR="00CF34FE" w:rsidRDefault="00CF34FE" w:rsidP="00CF34FE">
      <w:pPr>
        <w:pStyle w:val="SingleParagraph"/>
      </w:pPr>
    </w:p>
    <w:p w14:paraId="2B54BAB1" w14:textId="7A5BBD6B" w:rsidR="00A56A37" w:rsidRDefault="00B9718F" w:rsidP="00CF34FE">
      <w:r>
        <w:t xml:space="preserve">In </w:t>
      </w:r>
      <w:r w:rsidRPr="004C64EA">
        <w:t>2012</w:t>
      </w:r>
      <w:r w:rsidR="00455542">
        <w:noBreakHyphen/>
      </w:r>
      <w:r>
        <w:t>13, PRAC</w:t>
      </w:r>
      <w:r w:rsidRPr="004C64EA">
        <w:t xml:space="preserve"> members considered </w:t>
      </w:r>
      <w:r>
        <w:t>an information standard for petrol price boards to</w:t>
      </w:r>
      <w:r w:rsidRPr="004C64EA">
        <w:t xml:space="preserve"> enabl</w:t>
      </w:r>
      <w:r>
        <w:t>e</w:t>
      </w:r>
      <w:r w:rsidRPr="004C64EA">
        <w:t xml:space="preserve"> consumers to</w:t>
      </w:r>
      <w:r>
        <w:t xml:space="preserve"> make better fuel purchasing decisions. PRAC supported the development of a consultation paper and engaged closely with both stakeholders (see Case study 3).</w:t>
      </w:r>
    </w:p>
    <w:p w14:paraId="2B54BAB2" w14:textId="77777777" w:rsidR="00A56A37" w:rsidRDefault="00A56A37">
      <w:pPr>
        <w:spacing w:after="0" w:line="240" w:lineRule="auto"/>
      </w:pPr>
      <w:r>
        <w:br w:type="page"/>
      </w:r>
    </w:p>
    <w:tbl>
      <w:tblPr>
        <w:tblStyle w:val="TableGrid"/>
        <w:tblW w:w="0" w:type="auto"/>
        <w:tblLook w:val="04A0" w:firstRow="1" w:lastRow="0" w:firstColumn="1" w:lastColumn="0" w:noHBand="0" w:noVBand="1"/>
      </w:tblPr>
      <w:tblGrid>
        <w:gridCol w:w="9286"/>
      </w:tblGrid>
      <w:tr w:rsidR="007B587A" w14:paraId="2B54BABA" w14:textId="77777777" w:rsidTr="007B587A">
        <w:tc>
          <w:tcPr>
            <w:tcW w:w="9286" w:type="dxa"/>
          </w:tcPr>
          <w:p w14:paraId="2B54BAB3" w14:textId="77777777" w:rsidR="007B587A" w:rsidRPr="00EC0E7C" w:rsidRDefault="007B587A" w:rsidP="00CF34FE">
            <w:pPr>
              <w:pStyle w:val="BoxHeading"/>
            </w:pPr>
            <w:r w:rsidRPr="00EC0E7C">
              <w:lastRenderedPageBreak/>
              <w:t xml:space="preserve">Case study </w:t>
            </w:r>
            <w:r w:rsidR="00C21AC8">
              <w:t>3</w:t>
            </w:r>
            <w:r w:rsidRPr="00EC0E7C">
              <w:t xml:space="preserve"> — </w:t>
            </w:r>
            <w:r>
              <w:t>Fuel price board signage</w:t>
            </w:r>
          </w:p>
          <w:p w14:paraId="2B54BAB4" w14:textId="77777777" w:rsidR="007B587A" w:rsidRDefault="007B587A" w:rsidP="00CF34FE">
            <w:pPr>
              <w:pStyle w:val="BoxText"/>
            </w:pPr>
            <w:r>
              <w:t xml:space="preserve">At the July 2012 CAF meeting, following concerns that some consumers </w:t>
            </w:r>
            <w:r w:rsidR="00DF1025">
              <w:t>may experience confusion when viewing</w:t>
            </w:r>
            <w:r>
              <w:t xml:space="preserve"> prices displayed by fuel retailers</w:t>
            </w:r>
            <w:r w:rsidR="00DF1025">
              <w:t>,</w:t>
            </w:r>
            <w:r>
              <w:t xml:space="preserve"> Ministers agreed to consider a national approach to fuel price board signage. </w:t>
            </w:r>
          </w:p>
          <w:p w14:paraId="2B54BAB5" w14:textId="4605EEF7" w:rsidR="007B587A" w:rsidRPr="00A41C9F" w:rsidRDefault="007B587A" w:rsidP="00CF34FE">
            <w:pPr>
              <w:pStyle w:val="BoxText"/>
            </w:pPr>
            <w:r>
              <w:t>At the December 2012 CAF meeting, Ministers release</w:t>
            </w:r>
            <w:r w:rsidR="00DF1025">
              <w:t>d</w:t>
            </w:r>
            <w:r>
              <w:t xml:space="preserve"> a CAANZ public consultation paper: </w:t>
            </w:r>
            <w:r w:rsidRPr="00716C01">
              <w:rPr>
                <w:i/>
              </w:rPr>
              <w:t>Consumers and Fuel Price Boards</w:t>
            </w:r>
            <w:r w:rsidR="00455542">
              <w:t xml:space="preserve">. </w:t>
            </w:r>
            <w:r>
              <w:t xml:space="preserve">The consultation paper invited stakeholders to comment and make submissions on options for a national approach to the display </w:t>
            </w:r>
            <w:r w:rsidRPr="002D0836">
              <w:t>of information on fuel price boards</w:t>
            </w:r>
            <w:r w:rsidR="00455542">
              <w:t xml:space="preserve">. </w:t>
            </w:r>
            <w:r w:rsidRPr="002D0836">
              <w:t xml:space="preserve">PRAC </w:t>
            </w:r>
            <w:r w:rsidR="00DF1025">
              <w:t>conducted</w:t>
            </w:r>
            <w:r w:rsidRPr="002D0836">
              <w:t xml:space="preserve"> consultation meetings with large and small fuel retailers, industry associations and motoring organisations</w:t>
            </w:r>
            <w:r w:rsidR="002F72D0">
              <w:t>,</w:t>
            </w:r>
            <w:r w:rsidRPr="002D0836">
              <w:t xml:space="preserve"> and received 18 written submissions in the first quarter of 2013</w:t>
            </w:r>
            <w:r w:rsidR="00455542">
              <w:t xml:space="preserve">. </w:t>
            </w:r>
          </w:p>
          <w:p w14:paraId="2B54BAB6" w14:textId="515D4ED9" w:rsidR="007B587A" w:rsidRPr="002D0836" w:rsidRDefault="007B587A" w:rsidP="00CF34FE">
            <w:pPr>
              <w:pStyle w:val="BoxText"/>
            </w:pPr>
            <w:r w:rsidRPr="007D544F">
              <w:t>This consultation indicated that while formal complaint data is low, survey data consistently revealed some level of dissatisfaction with some practices in the fuel retailing industry</w:t>
            </w:r>
            <w:r w:rsidR="00455542">
              <w:t xml:space="preserve">. </w:t>
            </w:r>
            <w:r>
              <w:t>This included t</w:t>
            </w:r>
            <w:r w:rsidRPr="007D544F">
              <w:t xml:space="preserve">he display of discounted prices that are subject to terms and conditions, </w:t>
            </w:r>
            <w:r>
              <w:t xml:space="preserve">the </w:t>
            </w:r>
            <w:r w:rsidRPr="007D544F">
              <w:t>display</w:t>
            </w:r>
            <w:r>
              <w:t xml:space="preserve"> of</w:t>
            </w:r>
            <w:r w:rsidRPr="007D544F">
              <w:t xml:space="preserve"> discoun</w:t>
            </w:r>
            <w:r w:rsidRPr="002D0836">
              <w:t xml:space="preserve">ted prices more prominently than other prices, and </w:t>
            </w:r>
            <w:r>
              <w:t>when</w:t>
            </w:r>
            <w:r w:rsidRPr="002D0836">
              <w:t xml:space="preserve"> prices</w:t>
            </w:r>
            <w:r>
              <w:t xml:space="preserve"> on fuel price boards</w:t>
            </w:r>
            <w:r w:rsidRPr="002D0836">
              <w:t xml:space="preserve"> </w:t>
            </w:r>
            <w:r>
              <w:t>are</w:t>
            </w:r>
            <w:r w:rsidRPr="002D0836">
              <w:t xml:space="preserve"> lower than </w:t>
            </w:r>
            <w:r>
              <w:t>the prices that consumers must</w:t>
            </w:r>
            <w:r w:rsidR="002F72D0">
              <w:t xml:space="preserve"> actually</w:t>
            </w:r>
            <w:r>
              <w:t xml:space="preserve"> pay (for example where there is</w:t>
            </w:r>
            <w:r w:rsidRPr="002D0836">
              <w:t xml:space="preserve"> operator error in price changeover periods</w:t>
            </w:r>
            <w:r>
              <w:t>)</w:t>
            </w:r>
            <w:r w:rsidRPr="002D0836">
              <w:t>.</w:t>
            </w:r>
          </w:p>
          <w:p w14:paraId="2B54BAB7" w14:textId="63FB7F4F" w:rsidR="007B587A" w:rsidRDefault="007B587A" w:rsidP="00CF34FE">
            <w:pPr>
              <w:pStyle w:val="BoxText"/>
            </w:pPr>
            <w:r w:rsidRPr="002D0836">
              <w:t xml:space="preserve">Following consultation, PRAC members developed </w:t>
            </w:r>
            <w:r>
              <w:t>options for an information standard to be made under the ACL</w:t>
            </w:r>
            <w:r w:rsidR="00455542">
              <w:t xml:space="preserve">. </w:t>
            </w:r>
            <w:r>
              <w:t>Information standards seek to ensure that consumers are provided with relevant and consistent information in relation to a product to enable them to make appropriate choices</w:t>
            </w:r>
            <w:r w:rsidR="00455542">
              <w:t xml:space="preserve">. </w:t>
            </w:r>
            <w:r>
              <w:t>An information standard made under the ACL in relation to fuel price boards</w:t>
            </w:r>
            <w:r w:rsidRPr="00A02C6E">
              <w:t xml:space="preserve"> would aim to lower the transaction costs f</w:t>
            </w:r>
            <w:r w:rsidR="002F72D0">
              <w:t>or</w:t>
            </w:r>
            <w:r w:rsidRPr="00A02C6E">
              <w:t xml:space="preserve"> consumers </w:t>
            </w:r>
            <w:r w:rsidR="002F72D0">
              <w:t xml:space="preserve">when </w:t>
            </w:r>
            <w:r w:rsidRPr="00A02C6E">
              <w:t xml:space="preserve">identifying the fuel price that is relevant to them and facilitate easier comparison of prices between fuel sites in a market. </w:t>
            </w:r>
          </w:p>
          <w:p w14:paraId="2B54BAB8" w14:textId="0D16D3ED" w:rsidR="00B54ABC" w:rsidRDefault="00044A99" w:rsidP="00CF34FE">
            <w:pPr>
              <w:pStyle w:val="BoxText"/>
            </w:pPr>
            <w:r>
              <w:t xml:space="preserve">At the July 2013 meeting, </w:t>
            </w:r>
            <w:r w:rsidR="004054F8">
              <w:t>CAF Ministers discussed the value of information standard</w:t>
            </w:r>
            <w:r w:rsidR="00B54ABC">
              <w:t>s</w:t>
            </w:r>
            <w:r w:rsidR="004054F8">
              <w:t xml:space="preserve"> for petrol price boards to assist consumers to make better fuel purchasing decisions</w:t>
            </w:r>
            <w:r w:rsidR="00455542">
              <w:t xml:space="preserve">. </w:t>
            </w:r>
            <w:r w:rsidR="004054F8">
              <w:t xml:space="preserve">Ministers noted the consultation that had been undertaken with industry </w:t>
            </w:r>
            <w:r w:rsidR="00B54ABC">
              <w:t>and consumer groups to date.</w:t>
            </w:r>
          </w:p>
          <w:p w14:paraId="2B54BAB9" w14:textId="77777777" w:rsidR="004054F8" w:rsidRDefault="00B54ABC" w:rsidP="00CF34FE">
            <w:pPr>
              <w:pStyle w:val="BoxText"/>
            </w:pPr>
            <w:r>
              <w:t xml:space="preserve">While </w:t>
            </w:r>
            <w:r w:rsidR="004054F8">
              <w:t>agreement was not reached over a</w:t>
            </w:r>
            <w:r>
              <w:t xml:space="preserve"> national information standard, </w:t>
            </w:r>
            <w:r w:rsidR="004054F8">
              <w:t>Ministers agreed to undertake further consultation and to revisit this issue at the next CAF meeting.</w:t>
            </w:r>
          </w:p>
        </w:tc>
      </w:tr>
    </w:tbl>
    <w:p w14:paraId="016C50DB" w14:textId="77777777" w:rsidR="00CF34FE" w:rsidRDefault="00CF34FE" w:rsidP="00CF34FE">
      <w:pPr>
        <w:pStyle w:val="SingleParagraph"/>
      </w:pPr>
    </w:p>
    <w:p w14:paraId="2B54BABB" w14:textId="2E92E60F" w:rsidR="00441A23" w:rsidRDefault="007B587A" w:rsidP="00CF34FE">
      <w:r w:rsidRPr="003054FC">
        <w:t>PRAC was instrumental in the development of a principles</w:t>
      </w:r>
      <w:r w:rsidR="00455542">
        <w:noBreakHyphen/>
      </w:r>
      <w:r w:rsidRPr="003054FC">
        <w:t>based guide to support jurisdictions</w:t>
      </w:r>
      <w:r w:rsidR="002F72D0">
        <w:t>’</w:t>
      </w:r>
      <w:r w:rsidRPr="003054FC">
        <w:t xml:space="preserve"> efforts to identify any inconsistencies with the ACL when assessing new legislation or reviewing existing legislation</w:t>
      </w:r>
      <w:r w:rsidR="00455542">
        <w:t xml:space="preserve">. </w:t>
      </w:r>
      <w:r w:rsidRPr="003054FC">
        <w:t>The guide,</w:t>
      </w:r>
      <w:r w:rsidRPr="007B587A">
        <w:t xml:space="preserve"> </w:t>
      </w:r>
      <w:proofErr w:type="gramStart"/>
      <w:r w:rsidRPr="007B587A">
        <w:rPr>
          <w:i/>
        </w:rPr>
        <w:t>Maintaining</w:t>
      </w:r>
      <w:proofErr w:type="gramEnd"/>
      <w:r w:rsidRPr="007B587A">
        <w:rPr>
          <w:i/>
        </w:rPr>
        <w:t xml:space="preserve"> consistency with the Australian Consumer Law</w:t>
      </w:r>
      <w:r w:rsidRPr="007B587A">
        <w:t>, supports</w:t>
      </w:r>
      <w:r w:rsidRPr="003054FC">
        <w:t xml:space="preserve"> CAF Ministers in their commitment to pursue an integrated and harmonised approach to protecting consumers across all </w:t>
      </w:r>
      <w:r w:rsidR="002F72D0">
        <w:t>s</w:t>
      </w:r>
      <w:r w:rsidRPr="003054FC">
        <w:t xml:space="preserve">tates and </w:t>
      </w:r>
      <w:r w:rsidR="002F72D0">
        <w:t>t</w:t>
      </w:r>
      <w:r w:rsidRPr="003054FC">
        <w:t>erritories pursuant to clause 3 of the IG</w:t>
      </w:r>
      <w:r>
        <w:t>A</w:t>
      </w:r>
      <w:r w:rsidR="00132A59">
        <w:t xml:space="preserve"> (see Case study </w:t>
      </w:r>
      <w:r w:rsidR="00C21AC8">
        <w:t>4</w:t>
      </w:r>
      <w:r w:rsidR="00132A59">
        <w:t>)</w:t>
      </w:r>
      <w:r>
        <w:t>.</w:t>
      </w:r>
    </w:p>
    <w:p w14:paraId="2B54BABC" w14:textId="77777777" w:rsidR="00441A23" w:rsidRDefault="00441A23">
      <w:pPr>
        <w:spacing w:after="0" w:line="240" w:lineRule="auto"/>
      </w:pPr>
      <w:r>
        <w:br w:type="page"/>
      </w:r>
    </w:p>
    <w:tbl>
      <w:tblPr>
        <w:tblStyle w:val="TableGrid"/>
        <w:tblW w:w="0" w:type="auto"/>
        <w:tblLook w:val="04A0" w:firstRow="1" w:lastRow="0" w:firstColumn="1" w:lastColumn="0" w:noHBand="0" w:noVBand="1"/>
      </w:tblPr>
      <w:tblGrid>
        <w:gridCol w:w="9286"/>
      </w:tblGrid>
      <w:tr w:rsidR="008B599D" w14:paraId="2B54BAC3" w14:textId="77777777" w:rsidTr="008B599D">
        <w:tc>
          <w:tcPr>
            <w:tcW w:w="9286" w:type="dxa"/>
          </w:tcPr>
          <w:p w14:paraId="2B54BABD" w14:textId="77777777" w:rsidR="008B599D" w:rsidRPr="008B599D" w:rsidRDefault="008B599D" w:rsidP="00CF34FE">
            <w:pPr>
              <w:pStyle w:val="BoxHeading"/>
            </w:pPr>
            <w:r w:rsidRPr="008B599D">
              <w:lastRenderedPageBreak/>
              <w:t xml:space="preserve">Case study </w:t>
            </w:r>
            <w:r w:rsidR="00C21AC8">
              <w:t>4</w:t>
            </w:r>
            <w:r w:rsidRPr="008B599D">
              <w:t xml:space="preserve"> — Maintaining consistency with the Australian Consumer Law</w:t>
            </w:r>
          </w:p>
          <w:p w14:paraId="2B54BABE" w14:textId="1AB4BC94" w:rsidR="008B599D" w:rsidRDefault="008B599D" w:rsidP="00CF34FE">
            <w:pPr>
              <w:pStyle w:val="BoxText"/>
            </w:pPr>
            <w:r w:rsidRPr="00A11C63">
              <w:t xml:space="preserve">The </w:t>
            </w:r>
            <w:r>
              <w:t>IGA</w:t>
            </w:r>
            <w:r w:rsidRPr="00A11C63">
              <w:t xml:space="preserve"> provides that the Commonwealth, </w:t>
            </w:r>
            <w:r w:rsidR="00D14F73">
              <w:t>s</w:t>
            </w:r>
            <w:r w:rsidRPr="00A11C63">
              <w:t xml:space="preserve">tates and </w:t>
            </w:r>
            <w:r w:rsidR="00D14F73">
              <w:t>t</w:t>
            </w:r>
            <w:r w:rsidRPr="00A11C63">
              <w:t>erritories</w:t>
            </w:r>
            <w:r>
              <w:t xml:space="preserve"> will</w:t>
            </w:r>
            <w:r w:rsidRPr="00A11C63">
              <w:t xml:space="preserve"> endeavour to repeal, amend or modify any legislation that is inconsistent with or alters the effect of the ACL</w:t>
            </w:r>
            <w:r w:rsidR="00455542">
              <w:t xml:space="preserve">. </w:t>
            </w:r>
            <w:r w:rsidRPr="005F675D">
              <w:t>It also provides that the Ministerial Council on Consumer Affairs (now CAF) develop a process for jurisdictions to review legislation to identify any inconsistencies with the ACL, and as part of this, provide guidelines on the meaning of ‘inconsistent with or alters the effect’ of the ACL.</w:t>
            </w:r>
          </w:p>
          <w:p w14:paraId="2B54BABF" w14:textId="47EDE76A" w:rsidR="008B599D" w:rsidRDefault="008B599D" w:rsidP="00CF34FE">
            <w:pPr>
              <w:pStyle w:val="BoxText"/>
            </w:pPr>
            <w:r w:rsidRPr="00B2099C">
              <w:t xml:space="preserve">The aim of </w:t>
            </w:r>
            <w:r>
              <w:t>reviewing existing or proposed laws for consistency with the ACL</w:t>
            </w:r>
            <w:r w:rsidRPr="00B2099C">
              <w:t xml:space="preserve"> is to reduce red</w:t>
            </w:r>
            <w:r w:rsidR="00455542">
              <w:noBreakHyphen/>
            </w:r>
            <w:r w:rsidRPr="00B2099C">
              <w:t xml:space="preserve">tape </w:t>
            </w:r>
            <w:r w:rsidR="002F72D0">
              <w:t>experienced by</w:t>
            </w:r>
            <w:r w:rsidRPr="00B2099C">
              <w:t xml:space="preserve"> business</w:t>
            </w:r>
            <w:r w:rsidR="00455542">
              <w:t xml:space="preserve">. </w:t>
            </w:r>
          </w:p>
          <w:p w14:paraId="2B54BAC0" w14:textId="2F26AEBD" w:rsidR="008B599D" w:rsidRDefault="008B599D" w:rsidP="00CF34FE">
            <w:pPr>
              <w:pStyle w:val="BoxText"/>
            </w:pPr>
            <w:r>
              <w:t>During the first half of 2013, PRAC developed a</w:t>
            </w:r>
            <w:r w:rsidRPr="00A11C63">
              <w:t xml:space="preserve"> principles</w:t>
            </w:r>
            <w:r w:rsidR="00455542">
              <w:noBreakHyphen/>
            </w:r>
            <w:r w:rsidRPr="00A11C63">
              <w:t xml:space="preserve">based </w:t>
            </w:r>
            <w:r>
              <w:t>g</w:t>
            </w:r>
            <w:r w:rsidRPr="00A11C63">
              <w:t>uide</w:t>
            </w:r>
            <w:r>
              <w:t xml:space="preserve">: </w:t>
            </w:r>
            <w:r>
              <w:rPr>
                <w:i/>
              </w:rPr>
              <w:t>Maintaining</w:t>
            </w:r>
            <w:r w:rsidRPr="003A350E">
              <w:rPr>
                <w:i/>
              </w:rPr>
              <w:t xml:space="preserve"> consistency with the Australian Consumer La</w:t>
            </w:r>
            <w:r>
              <w:rPr>
                <w:i/>
              </w:rPr>
              <w:t>w</w:t>
            </w:r>
            <w:r w:rsidRPr="005F675D">
              <w:t>,</w:t>
            </w:r>
            <w:r w:rsidRPr="00A11C63">
              <w:t xml:space="preserve"> to assist Commonwealth, </w:t>
            </w:r>
            <w:r w:rsidR="00D14F73">
              <w:t>s</w:t>
            </w:r>
            <w:r w:rsidRPr="00A11C63">
              <w:t xml:space="preserve">tate and </w:t>
            </w:r>
            <w:r w:rsidR="00D14F73">
              <w:t>t</w:t>
            </w:r>
            <w:r w:rsidRPr="00A11C63">
              <w:t xml:space="preserve">erritory </w:t>
            </w:r>
            <w:r w:rsidR="00016F6E">
              <w:t xml:space="preserve">consumer </w:t>
            </w:r>
            <w:r w:rsidRPr="00A11C63">
              <w:t xml:space="preserve">agencies to identify inconsistent, complementary or duplicative provisions in new legislation </w:t>
            </w:r>
            <w:r>
              <w:t>or</w:t>
            </w:r>
            <w:r w:rsidRPr="00A11C63">
              <w:t xml:space="preserve"> existing legislation under review. </w:t>
            </w:r>
          </w:p>
          <w:p w14:paraId="2B54BAC1" w14:textId="77777777" w:rsidR="008B599D" w:rsidRDefault="008B599D" w:rsidP="00CF34FE">
            <w:pPr>
              <w:pStyle w:val="BoxText"/>
            </w:pPr>
            <w:r>
              <w:t>The guide is available on the www.consumerlaw.gov.au website and also includes a suggested assessment form that jurisdictions may wish to use when assessing new or existing legislation against the ACL.</w:t>
            </w:r>
          </w:p>
          <w:p w14:paraId="2B54BAC2" w14:textId="77777777" w:rsidR="008B599D" w:rsidRDefault="008B599D" w:rsidP="008B599D">
            <w:pPr>
              <w:pStyle w:val="ChartorTableNote"/>
              <w:spacing w:line="240" w:lineRule="auto"/>
              <w:jc w:val="center"/>
            </w:pPr>
            <w:r w:rsidRPr="00111BAC">
              <w:rPr>
                <w:noProof/>
              </w:rPr>
              <w:drawing>
                <wp:inline distT="0" distB="0" distL="0" distR="0" wp14:anchorId="2B54BC2D" wp14:editId="2B54BC2E">
                  <wp:extent cx="4165600" cy="2797243"/>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5021" b="48886"/>
                          <a:stretch/>
                        </pic:blipFill>
                        <pic:spPr bwMode="auto">
                          <a:xfrm>
                            <a:off x="0" y="0"/>
                            <a:ext cx="4165600" cy="2797243"/>
                          </a:xfrm>
                          <a:prstGeom prst="rect">
                            <a:avLst/>
                          </a:prstGeom>
                          <a:noFill/>
                          <a:ln>
                            <a:noFill/>
                          </a:ln>
                          <a:extLst>
                            <a:ext uri="{53640926-AAD7-44D8-BBD7-CCE9431645EC}">
                              <a14:shadowObscured xmlns:a14="http://schemas.microsoft.com/office/drawing/2010/main"/>
                            </a:ext>
                          </a:extLst>
                        </pic:spPr>
                      </pic:pic>
                    </a:graphicData>
                  </a:graphic>
                </wp:inline>
              </w:drawing>
            </w:r>
            <w:r>
              <w:br/>
            </w:r>
            <w:r w:rsidR="00A772DF">
              <w:t>Source: http://www.consumerlaw.gov.au</w:t>
            </w:r>
          </w:p>
        </w:tc>
      </w:tr>
    </w:tbl>
    <w:p w14:paraId="2B54BAC4" w14:textId="77777777" w:rsidR="00FE5860" w:rsidRDefault="00FE5860" w:rsidP="00CF34FE">
      <w:pPr>
        <w:pStyle w:val="SingleParagraph"/>
      </w:pPr>
    </w:p>
    <w:p w14:paraId="2B54BAC5" w14:textId="77777777" w:rsidR="008B599D" w:rsidRDefault="008B599D">
      <w:pPr>
        <w:spacing w:after="0" w:line="240" w:lineRule="auto"/>
        <w:sectPr w:rsidR="008B599D" w:rsidSect="007D08F3">
          <w:headerReference w:type="first" r:id="rId38"/>
          <w:pgSz w:w="11906" w:h="16838" w:code="9"/>
          <w:pgMar w:top="1418" w:right="1418" w:bottom="1418" w:left="1418" w:header="709" w:footer="709" w:gutter="0"/>
          <w:cols w:space="708"/>
          <w:titlePg/>
          <w:docGrid w:linePitch="360"/>
        </w:sectPr>
      </w:pPr>
    </w:p>
    <w:p w14:paraId="2B54BAC6" w14:textId="77777777" w:rsidR="008B599D" w:rsidRDefault="008B599D" w:rsidP="008B599D">
      <w:pPr>
        <w:pStyle w:val="Heading1"/>
      </w:pPr>
      <w:bookmarkStart w:id="65" w:name="_Toc342299520"/>
      <w:bookmarkStart w:id="66" w:name="_Toc342381487"/>
      <w:bookmarkStart w:id="67" w:name="_Toc370468058"/>
      <w:r>
        <w:lastRenderedPageBreak/>
        <w:t>Education and information for consumers and business</w:t>
      </w:r>
      <w:bookmarkEnd w:id="65"/>
      <w:bookmarkEnd w:id="66"/>
      <w:bookmarkEnd w:id="67"/>
    </w:p>
    <w:tbl>
      <w:tblPr>
        <w:tblStyle w:val="TableGrid"/>
        <w:tblW w:w="0" w:type="auto"/>
        <w:tblLook w:val="04A0" w:firstRow="1" w:lastRow="0" w:firstColumn="1" w:lastColumn="0" w:noHBand="0" w:noVBand="1"/>
      </w:tblPr>
      <w:tblGrid>
        <w:gridCol w:w="9286"/>
      </w:tblGrid>
      <w:tr w:rsidR="008B599D" w14:paraId="2B54BAC9" w14:textId="77777777" w:rsidTr="008B599D">
        <w:tc>
          <w:tcPr>
            <w:tcW w:w="9286" w:type="dxa"/>
          </w:tcPr>
          <w:p w14:paraId="2B54BAC7" w14:textId="77777777" w:rsidR="008B599D" w:rsidRPr="008B599D" w:rsidRDefault="008B599D" w:rsidP="00CF34FE">
            <w:pPr>
              <w:pStyle w:val="BoxHeading"/>
            </w:pPr>
            <w:r w:rsidRPr="008B599D">
              <w:t>Summary</w:t>
            </w:r>
          </w:p>
          <w:p w14:paraId="2B54BAC8" w14:textId="58E2BE42" w:rsidR="008B599D" w:rsidRPr="00D64FA0" w:rsidRDefault="008B599D" w:rsidP="00CF34FE">
            <w:pPr>
              <w:pStyle w:val="BoxText"/>
            </w:pPr>
            <w:bookmarkStart w:id="68" w:name="_Toc370468059"/>
            <w:r w:rsidRPr="00D64FA0">
              <w:t>In 201</w:t>
            </w:r>
            <w:r w:rsidR="001F65B8" w:rsidRPr="00D64FA0">
              <w:t>2</w:t>
            </w:r>
            <w:r w:rsidR="00455542">
              <w:noBreakHyphen/>
            </w:r>
            <w:r w:rsidRPr="00D64FA0">
              <w:t xml:space="preserve">13, </w:t>
            </w:r>
            <w:r w:rsidR="00D64FA0">
              <w:t>e</w:t>
            </w:r>
            <w:r w:rsidR="00D64FA0" w:rsidRPr="00D03AB8">
              <w:t>ducation and information activities have improved consumer understanding of the ACL by focussing on consumers’ understanding of their rights, and have complemented the compliance activities of consumer agencies. Key communications strategies were delive</w:t>
            </w:r>
            <w:r w:rsidR="00D64FA0">
              <w:t>red, including the publications</w:t>
            </w:r>
            <w:r w:rsidR="00D64FA0" w:rsidRPr="00D03AB8">
              <w:t xml:space="preserve">: </w:t>
            </w:r>
            <w:r w:rsidR="00D64FA0" w:rsidRPr="007611BE">
              <w:t>Small business self</w:t>
            </w:r>
            <w:r w:rsidR="00455542">
              <w:noBreakHyphen/>
            </w:r>
            <w:r w:rsidR="00D64FA0" w:rsidRPr="007611BE">
              <w:t>assessment checklist</w:t>
            </w:r>
            <w:r w:rsidR="00D64FA0" w:rsidRPr="00D03AB8">
              <w:t xml:space="preserve"> and </w:t>
            </w:r>
            <w:r w:rsidR="00D64FA0" w:rsidRPr="007611BE">
              <w:t xml:space="preserve">My </w:t>
            </w:r>
            <w:r w:rsidR="008F76B2" w:rsidRPr="007611BE">
              <w:t>c</w:t>
            </w:r>
            <w:r w:rsidR="00D64FA0" w:rsidRPr="007611BE">
              <w:t xml:space="preserve">onsumer </w:t>
            </w:r>
            <w:r w:rsidR="008F76B2" w:rsidRPr="007611BE">
              <w:t>r</w:t>
            </w:r>
            <w:r w:rsidR="00D64FA0" w:rsidRPr="007611BE">
              <w:t>ights</w:t>
            </w:r>
            <w:r w:rsidR="00D64FA0" w:rsidRPr="00D03AB8">
              <w:t>, and the development of industry guides.</w:t>
            </w:r>
            <w:bookmarkEnd w:id="68"/>
          </w:p>
        </w:tc>
      </w:tr>
    </w:tbl>
    <w:p w14:paraId="2B54BACA" w14:textId="77777777" w:rsidR="008B599D" w:rsidRDefault="008B599D" w:rsidP="008B599D">
      <w:pPr>
        <w:pStyle w:val="Heading2"/>
      </w:pPr>
      <w:bookmarkStart w:id="69" w:name="_Toc367715264"/>
      <w:bookmarkStart w:id="70" w:name="_Toc370468060"/>
      <w:r>
        <w:t>Overview</w:t>
      </w:r>
      <w:bookmarkEnd w:id="69"/>
      <w:bookmarkEnd w:id="70"/>
    </w:p>
    <w:p w14:paraId="2B54BACB" w14:textId="77777777" w:rsidR="008B599D" w:rsidRDefault="008B599D" w:rsidP="00CF34FE">
      <w:r>
        <w:t xml:space="preserve">The collaborative leadership model for the ACL has provided new opportunities for EIAC to support and promote policy and compliance activities. Resources are developed collaboratively to minimise duplication and distributed nationally to ensure consistent messaging. </w:t>
      </w:r>
      <w:r w:rsidR="00BC0420">
        <w:t>Consumer agencies continued to engage with consumer advocacy organisations, including through the 2013 National Consumer Congress.</w:t>
      </w:r>
    </w:p>
    <w:p w14:paraId="2B54BACC" w14:textId="77777777" w:rsidR="008B599D" w:rsidRPr="00247519" w:rsidRDefault="008B599D" w:rsidP="008B599D">
      <w:pPr>
        <w:pStyle w:val="Heading3"/>
      </w:pPr>
      <w:bookmarkStart w:id="71" w:name="_Toc342299523"/>
      <w:bookmarkStart w:id="72" w:name="_Toc342381489"/>
      <w:bookmarkStart w:id="73" w:name="_Toc370468061"/>
      <w:r>
        <w:t>Improving consumer understanding of the ACL</w:t>
      </w:r>
      <w:bookmarkEnd w:id="71"/>
      <w:bookmarkEnd w:id="72"/>
      <w:bookmarkEnd w:id="73"/>
    </w:p>
    <w:p w14:paraId="2B54BACD" w14:textId="6A584162" w:rsidR="00301C87" w:rsidRDefault="005E4731" w:rsidP="00CF34FE">
      <w:r>
        <w:t>EIAC has used a range of communication tools to disseminate information on the ACL to wide and diverse audiences</w:t>
      </w:r>
      <w:r w:rsidR="00455542">
        <w:t xml:space="preserve">. </w:t>
      </w:r>
      <w:r>
        <w:t xml:space="preserve">For example, EIAC </w:t>
      </w:r>
      <w:r w:rsidR="00DF1025">
        <w:t>developed</w:t>
      </w:r>
      <w:r>
        <w:t xml:space="preserve"> the national project: </w:t>
      </w:r>
      <w:r w:rsidRPr="0009646C">
        <w:rPr>
          <w:i/>
        </w:rPr>
        <w:t xml:space="preserve">My </w:t>
      </w:r>
      <w:r w:rsidR="008F76B2">
        <w:rPr>
          <w:i/>
        </w:rPr>
        <w:t>c</w:t>
      </w:r>
      <w:r w:rsidRPr="0009646C">
        <w:rPr>
          <w:i/>
        </w:rPr>
        <w:t xml:space="preserve">onsumer </w:t>
      </w:r>
      <w:r w:rsidR="008F76B2">
        <w:rPr>
          <w:i/>
        </w:rPr>
        <w:t>r</w:t>
      </w:r>
      <w:r w:rsidRPr="0009646C">
        <w:rPr>
          <w:i/>
        </w:rPr>
        <w:t>ights</w:t>
      </w:r>
      <w:r>
        <w:t xml:space="preserve"> </w:t>
      </w:r>
      <w:r w:rsidR="00DF1025">
        <w:t>—</w:t>
      </w:r>
      <w:r>
        <w:t xml:space="preserve"> an educational resource kit targeted at newly arrived and emerging communities around Australia</w:t>
      </w:r>
      <w:r w:rsidR="00455542">
        <w:t xml:space="preserve">. </w:t>
      </w:r>
      <w:r>
        <w:t>The project involved the development, production and provision of various video and static storyboards in numerous languages, covering key consumer issues such as consumer guarantees, refunds and purchasing rights</w:t>
      </w:r>
      <w:r w:rsidR="00132A59">
        <w:t xml:space="preserve"> (see Case study </w:t>
      </w:r>
      <w:r w:rsidR="00C21AC8">
        <w:t>5</w:t>
      </w:r>
      <w:r w:rsidR="00132A59">
        <w:t>)</w:t>
      </w:r>
      <w:r w:rsidR="00455542">
        <w:t xml:space="preserve">. </w:t>
      </w:r>
      <w:r>
        <w:t>In addition, five videos targeted to</w:t>
      </w:r>
      <w:r w:rsidR="007F69FE">
        <w:t>wards</w:t>
      </w:r>
      <w:r>
        <w:t xml:space="preserve"> Indigenous consumers were produced by the A</w:t>
      </w:r>
      <w:r w:rsidR="003F716D">
        <w:t xml:space="preserve">ustralian </w:t>
      </w:r>
      <w:r>
        <w:t>C</w:t>
      </w:r>
      <w:r w:rsidR="003F716D">
        <w:t xml:space="preserve">ompetition and </w:t>
      </w:r>
      <w:r>
        <w:t>C</w:t>
      </w:r>
      <w:r w:rsidR="003F716D">
        <w:t xml:space="preserve">onsumer </w:t>
      </w:r>
      <w:r>
        <w:t>C</w:t>
      </w:r>
      <w:r w:rsidR="003F716D">
        <w:t>ommission (ACCC)</w:t>
      </w:r>
      <w:r>
        <w:t xml:space="preserve">, and South Australia produced a ‘talking poster’ in various </w:t>
      </w:r>
      <w:r w:rsidR="008F76B2">
        <w:t>I</w:t>
      </w:r>
      <w:r>
        <w:t>ndigenous languages.</w:t>
      </w:r>
    </w:p>
    <w:p w14:paraId="2B54BACE" w14:textId="77777777" w:rsidR="00950DC9" w:rsidRDefault="005C6462" w:rsidP="00CF34FE">
      <w:r>
        <w:t>T</w:t>
      </w:r>
      <w:r w:rsidR="00596BE6">
        <w:t xml:space="preserve">he </w:t>
      </w:r>
      <w:r w:rsidR="00596BE6" w:rsidRPr="00B117EF">
        <w:t>Australian Securities</w:t>
      </w:r>
      <w:r w:rsidR="00596BE6">
        <w:t xml:space="preserve"> and</w:t>
      </w:r>
      <w:r w:rsidR="00596BE6" w:rsidRPr="00B117EF">
        <w:t xml:space="preserve"> Investments Commission</w:t>
      </w:r>
      <w:r w:rsidR="00596BE6">
        <w:t xml:space="preserve"> (ASIC)</w:t>
      </w:r>
      <w:r w:rsidR="00596BE6" w:rsidRPr="00B117EF">
        <w:t xml:space="preserve"> developed a Money Management Toolkit </w:t>
      </w:r>
      <w:r w:rsidR="00596BE6">
        <w:t xml:space="preserve">which comprises a </w:t>
      </w:r>
      <w:r w:rsidR="00596BE6" w:rsidRPr="00B117EF">
        <w:t>suite of multilingual educational resources for community settlement workers who help new arrivals learn about Australia's financial system. The Money Management Toolkit includes fact sheets, audio and video content and teaching resources. Topics include household budgeting, saving money, paying bills, contracts, banking, credit, debt, insurance and superannuation</w:t>
      </w:r>
      <w:r w:rsidR="00596BE6">
        <w:t xml:space="preserve"> and ACL focused factsheets on shopping, product safety, door to door sales and scams</w:t>
      </w:r>
      <w:r w:rsidR="00596BE6" w:rsidRPr="00B117EF">
        <w:t>.</w:t>
      </w:r>
      <w:r w:rsidR="00596BE6">
        <w:t xml:space="preserve"> </w:t>
      </w:r>
    </w:p>
    <w:p w14:paraId="2B54BACF" w14:textId="77777777" w:rsidR="00950DC9" w:rsidRDefault="00950DC9">
      <w:pPr>
        <w:spacing w:after="0" w:line="240" w:lineRule="auto"/>
      </w:pPr>
      <w:r>
        <w:br w:type="page"/>
      </w:r>
    </w:p>
    <w:tbl>
      <w:tblPr>
        <w:tblStyle w:val="TableGrid"/>
        <w:tblW w:w="0" w:type="auto"/>
        <w:tblLook w:val="04A0" w:firstRow="1" w:lastRow="0" w:firstColumn="1" w:lastColumn="0" w:noHBand="0" w:noVBand="1"/>
      </w:tblPr>
      <w:tblGrid>
        <w:gridCol w:w="9286"/>
      </w:tblGrid>
      <w:tr w:rsidR="00301C87" w14:paraId="2B54BAD7" w14:textId="77777777" w:rsidTr="00301C87">
        <w:tc>
          <w:tcPr>
            <w:tcW w:w="9286" w:type="dxa"/>
          </w:tcPr>
          <w:p w14:paraId="2B54BAD0" w14:textId="77777777" w:rsidR="00301C87" w:rsidRPr="00A772DF" w:rsidRDefault="00301C87" w:rsidP="00CF34FE">
            <w:pPr>
              <w:pStyle w:val="BoxHeading"/>
            </w:pPr>
            <w:r w:rsidRPr="00A772DF">
              <w:lastRenderedPageBreak/>
              <w:t xml:space="preserve">Case </w:t>
            </w:r>
            <w:r w:rsidR="00795FCA">
              <w:t xml:space="preserve">study </w:t>
            </w:r>
            <w:r w:rsidR="00C21AC8">
              <w:t>5</w:t>
            </w:r>
            <w:r w:rsidRPr="00A772DF">
              <w:t xml:space="preserve"> — </w:t>
            </w:r>
            <w:r w:rsidRPr="008F6620">
              <w:rPr>
                <w:i/>
              </w:rPr>
              <w:t xml:space="preserve">My </w:t>
            </w:r>
            <w:r w:rsidR="008F76B2">
              <w:rPr>
                <w:i/>
              </w:rPr>
              <w:t>c</w:t>
            </w:r>
            <w:r w:rsidRPr="008F6620">
              <w:rPr>
                <w:i/>
              </w:rPr>
              <w:t xml:space="preserve">onsumer </w:t>
            </w:r>
            <w:r w:rsidR="008F76B2">
              <w:rPr>
                <w:i/>
              </w:rPr>
              <w:t>r</w:t>
            </w:r>
            <w:r w:rsidRPr="008F6620">
              <w:rPr>
                <w:i/>
              </w:rPr>
              <w:t>ights</w:t>
            </w:r>
            <w:r w:rsidRPr="00A772DF">
              <w:t xml:space="preserve"> project </w:t>
            </w:r>
            <w:r>
              <w:t>supporting</w:t>
            </w:r>
            <w:r w:rsidRPr="00A772DF">
              <w:t xml:space="preserve"> culturally and linguistically diverse consumers </w:t>
            </w:r>
          </w:p>
          <w:p w14:paraId="2B54BAD1" w14:textId="77777777" w:rsidR="00301C87" w:rsidRPr="00A772DF" w:rsidRDefault="00301C87" w:rsidP="00CF34FE">
            <w:pPr>
              <w:pStyle w:val="BoxText"/>
            </w:pPr>
            <w:r w:rsidRPr="00A772DF">
              <w:t>The</w:t>
            </w:r>
            <w:r>
              <w:t xml:space="preserve"> </w:t>
            </w:r>
            <w:r w:rsidRPr="008F6620">
              <w:rPr>
                <w:i/>
              </w:rPr>
              <w:t xml:space="preserve">My </w:t>
            </w:r>
            <w:r w:rsidR="008F76B2">
              <w:rPr>
                <w:i/>
              </w:rPr>
              <w:t>c</w:t>
            </w:r>
            <w:r>
              <w:rPr>
                <w:i/>
              </w:rPr>
              <w:t xml:space="preserve">onsumer </w:t>
            </w:r>
            <w:r w:rsidR="008F76B2">
              <w:rPr>
                <w:i/>
              </w:rPr>
              <w:t>r</w:t>
            </w:r>
            <w:r w:rsidRPr="008F6620">
              <w:rPr>
                <w:i/>
              </w:rPr>
              <w:t>ights</w:t>
            </w:r>
            <w:r>
              <w:t xml:space="preserve"> national</w:t>
            </w:r>
            <w:r w:rsidRPr="00A772DF">
              <w:t xml:space="preserve"> project </w:t>
            </w:r>
            <w:r>
              <w:t>was developed for culturally and linguistically diverse (C</w:t>
            </w:r>
            <w:r w:rsidRPr="00A772DF">
              <w:t>ALD</w:t>
            </w:r>
            <w:r>
              <w:t>)</w:t>
            </w:r>
            <w:r w:rsidRPr="00A772DF">
              <w:t xml:space="preserve"> </w:t>
            </w:r>
            <w:r>
              <w:t>communitie</w:t>
            </w:r>
            <w:r w:rsidRPr="00A772DF">
              <w:t>s</w:t>
            </w:r>
            <w:r>
              <w:t xml:space="preserve"> </w:t>
            </w:r>
            <w:r w:rsidRPr="00A772DF">
              <w:t>to raise</w:t>
            </w:r>
            <w:r>
              <w:t xml:space="preserve"> awareness and understanding</w:t>
            </w:r>
            <w:r w:rsidRPr="00A772DF">
              <w:t xml:space="preserve"> about their shopping rights and responsibilities under</w:t>
            </w:r>
            <w:r>
              <w:t xml:space="preserve"> the</w:t>
            </w:r>
            <w:r w:rsidRPr="00A772DF">
              <w:t xml:space="preserve"> ACL, and to promote the existence and availability, roles and obligations of consumer agencies </w:t>
            </w:r>
            <w:r>
              <w:t>across</w:t>
            </w:r>
            <w:r w:rsidRPr="00A772DF">
              <w:t xml:space="preserve"> Australia. </w:t>
            </w:r>
          </w:p>
          <w:p w14:paraId="2B54BAD2" w14:textId="364E4E94" w:rsidR="00301C87" w:rsidRDefault="00301C87" w:rsidP="00CF34FE">
            <w:pPr>
              <w:pStyle w:val="BoxText"/>
              <w:rPr>
                <w:color w:val="auto"/>
              </w:rPr>
            </w:pPr>
            <w:r w:rsidRPr="00A772DF">
              <w:rPr>
                <w:lang w:val="en-US" w:eastAsia="en-US"/>
              </w:rPr>
              <w:t xml:space="preserve">Consultations were undertaken in several major states to </w:t>
            </w:r>
            <w:r>
              <w:rPr>
                <w:lang w:val="en-US" w:eastAsia="en-US"/>
              </w:rPr>
              <w:t>identify the target language groups and</w:t>
            </w:r>
            <w:r w:rsidRPr="00A772DF">
              <w:rPr>
                <w:lang w:val="en-US" w:eastAsia="en-US"/>
              </w:rPr>
              <w:t xml:space="preserve"> the </w:t>
            </w:r>
            <w:r>
              <w:rPr>
                <w:lang w:val="en-US" w:eastAsia="en-US"/>
              </w:rPr>
              <w:t>key issues experienced by individual communities</w:t>
            </w:r>
            <w:r w:rsidR="00455542">
              <w:rPr>
                <w:lang w:val="en-US" w:eastAsia="en-US"/>
              </w:rPr>
              <w:t xml:space="preserve">. </w:t>
            </w:r>
            <w:r>
              <w:rPr>
                <w:lang w:val="en-US" w:eastAsia="en-US"/>
              </w:rPr>
              <w:t>The consultations examined</w:t>
            </w:r>
            <w:r>
              <w:rPr>
                <w:color w:val="auto"/>
              </w:rPr>
              <w:t xml:space="preserve"> language and cultural challenges experienced by CALD communities</w:t>
            </w:r>
            <w:r w:rsidR="0030209A">
              <w:rPr>
                <w:color w:val="auto"/>
              </w:rPr>
              <w:t>,</w:t>
            </w:r>
            <w:r>
              <w:rPr>
                <w:color w:val="auto"/>
              </w:rPr>
              <w:t xml:space="preserve"> </w:t>
            </w:r>
            <w:r w:rsidR="0030209A">
              <w:rPr>
                <w:color w:val="auto"/>
              </w:rPr>
              <w:t>and</w:t>
            </w:r>
            <w:r>
              <w:rPr>
                <w:color w:val="auto"/>
              </w:rPr>
              <w:t xml:space="preserve"> </w:t>
            </w:r>
            <w:r w:rsidR="008F76B2">
              <w:rPr>
                <w:color w:val="auto"/>
              </w:rPr>
              <w:t>identified</w:t>
            </w:r>
            <w:r w:rsidR="00DD3454">
              <w:rPr>
                <w:color w:val="auto"/>
              </w:rPr>
              <w:t xml:space="preserve"> how more effective processes for</w:t>
            </w:r>
            <w:r>
              <w:rPr>
                <w:color w:val="auto"/>
              </w:rPr>
              <w:t xml:space="preserve"> accessing government services</w:t>
            </w:r>
            <w:r w:rsidR="008F76B2">
              <w:rPr>
                <w:color w:val="auto"/>
              </w:rPr>
              <w:t xml:space="preserve"> could be implemented</w:t>
            </w:r>
            <w:r>
              <w:rPr>
                <w:color w:val="auto"/>
              </w:rPr>
              <w:t>.</w:t>
            </w:r>
          </w:p>
          <w:p w14:paraId="2B54BAD3" w14:textId="316B659D" w:rsidR="00950DC9" w:rsidRDefault="00950DC9" w:rsidP="00CF34FE">
            <w:pPr>
              <w:pStyle w:val="BoxText"/>
            </w:pPr>
            <w:proofErr w:type="gramStart"/>
            <w:r w:rsidRPr="00E939D5">
              <w:rPr>
                <w:rStyle w:val="Strong"/>
                <w:b w:val="0"/>
                <w:szCs w:val="22"/>
                <w:lang w:val="en-US"/>
              </w:rPr>
              <w:t>The</w:t>
            </w:r>
            <w:r>
              <w:rPr>
                <w:rStyle w:val="Strong"/>
                <w:b w:val="0"/>
                <w:i/>
                <w:szCs w:val="22"/>
                <w:lang w:val="en-US"/>
              </w:rPr>
              <w:t xml:space="preserve"> </w:t>
            </w:r>
            <w:r w:rsidRPr="00A772DF">
              <w:rPr>
                <w:rStyle w:val="Strong"/>
                <w:b w:val="0"/>
                <w:i/>
                <w:szCs w:val="22"/>
                <w:lang w:val="en-US"/>
              </w:rPr>
              <w:t>My</w:t>
            </w:r>
            <w:proofErr w:type="gramEnd"/>
            <w:r w:rsidRPr="00A772DF">
              <w:rPr>
                <w:rStyle w:val="Strong"/>
                <w:b w:val="0"/>
                <w:i/>
                <w:szCs w:val="22"/>
                <w:lang w:val="en-US"/>
              </w:rPr>
              <w:t xml:space="preserve"> </w:t>
            </w:r>
            <w:r>
              <w:rPr>
                <w:rStyle w:val="Strong"/>
                <w:b w:val="0"/>
                <w:i/>
                <w:szCs w:val="22"/>
                <w:lang w:val="en-US"/>
              </w:rPr>
              <w:t>c</w:t>
            </w:r>
            <w:r w:rsidRPr="00A772DF">
              <w:rPr>
                <w:rStyle w:val="Strong"/>
                <w:b w:val="0"/>
                <w:i/>
                <w:szCs w:val="22"/>
                <w:lang w:val="en-US"/>
              </w:rPr>
              <w:t xml:space="preserve">onsumer </w:t>
            </w:r>
            <w:r>
              <w:rPr>
                <w:rStyle w:val="Strong"/>
                <w:b w:val="0"/>
                <w:i/>
                <w:szCs w:val="22"/>
                <w:lang w:val="en-US"/>
              </w:rPr>
              <w:t>r</w:t>
            </w:r>
            <w:r w:rsidRPr="00A772DF">
              <w:rPr>
                <w:rStyle w:val="Strong"/>
                <w:b w:val="0"/>
                <w:i/>
                <w:szCs w:val="22"/>
                <w:lang w:val="en-US"/>
              </w:rPr>
              <w:t xml:space="preserve">ights </w:t>
            </w:r>
            <w:r w:rsidRPr="00E939D5">
              <w:rPr>
                <w:rStyle w:val="Strong"/>
                <w:b w:val="0"/>
                <w:szCs w:val="22"/>
                <w:lang w:val="en-US"/>
              </w:rPr>
              <w:t>educational resource kit include</w:t>
            </w:r>
            <w:r>
              <w:rPr>
                <w:rStyle w:val="Strong"/>
                <w:b w:val="0"/>
                <w:szCs w:val="22"/>
                <w:lang w:val="en-US"/>
              </w:rPr>
              <w:t>s</w:t>
            </w:r>
            <w:r w:rsidRPr="00E939D5">
              <w:rPr>
                <w:rStyle w:val="Strong"/>
                <w:b w:val="0"/>
                <w:szCs w:val="22"/>
                <w:lang w:val="en-US"/>
              </w:rPr>
              <w:t xml:space="preserve"> a s</w:t>
            </w:r>
            <w:r w:rsidRPr="00A772DF">
              <w:rPr>
                <w:rStyle w:val="Strong"/>
                <w:b w:val="0"/>
                <w:szCs w:val="22"/>
                <w:lang w:val="en-US"/>
              </w:rPr>
              <w:t>eries of animatic vi</w:t>
            </w:r>
            <w:r>
              <w:rPr>
                <w:rStyle w:val="Strong"/>
                <w:b w:val="0"/>
                <w:szCs w:val="22"/>
                <w:lang w:val="en-US"/>
              </w:rPr>
              <w:t>deos in seven</w:t>
            </w:r>
            <w:r w:rsidR="00E270D0">
              <w:rPr>
                <w:rStyle w:val="Strong"/>
                <w:b w:val="0"/>
                <w:szCs w:val="22"/>
                <w:lang w:val="en-US"/>
              </w:rPr>
              <w:t> </w:t>
            </w:r>
            <w:r w:rsidRPr="00A772DF">
              <w:rPr>
                <w:rStyle w:val="Strong"/>
                <w:b w:val="0"/>
                <w:szCs w:val="22"/>
                <w:lang w:val="en-US"/>
              </w:rPr>
              <w:t xml:space="preserve">languages (Arabic, </w:t>
            </w:r>
            <w:proofErr w:type="spellStart"/>
            <w:r w:rsidRPr="00A772DF">
              <w:rPr>
                <w:rStyle w:val="Strong"/>
                <w:b w:val="0"/>
                <w:szCs w:val="22"/>
                <w:lang w:val="en-US"/>
              </w:rPr>
              <w:t>Dinka</w:t>
            </w:r>
            <w:proofErr w:type="spellEnd"/>
            <w:r w:rsidRPr="00A772DF">
              <w:rPr>
                <w:rStyle w:val="Strong"/>
                <w:b w:val="0"/>
                <w:szCs w:val="22"/>
                <w:lang w:val="en-US"/>
              </w:rPr>
              <w:t>, English, Farsi, Karen, Nepalese and Tamil)</w:t>
            </w:r>
            <w:r w:rsidR="00455542">
              <w:rPr>
                <w:rStyle w:val="Strong"/>
                <w:b w:val="0"/>
                <w:szCs w:val="22"/>
                <w:lang w:val="en-US"/>
              </w:rPr>
              <w:t xml:space="preserve">. </w:t>
            </w:r>
            <w:r w:rsidRPr="00A772DF">
              <w:t>The animatic videos feature the iden</w:t>
            </w:r>
            <w:r>
              <w:t>tified consumer rights topics: m</w:t>
            </w:r>
            <w:r w:rsidRPr="00A772DF">
              <w:t xml:space="preserve">y shopping rights, </w:t>
            </w:r>
            <w:r>
              <w:t>s</w:t>
            </w:r>
            <w:r w:rsidRPr="00A772DF">
              <w:t xml:space="preserve">hopping refunds, </w:t>
            </w:r>
            <w:r>
              <w:t>g</w:t>
            </w:r>
            <w:r w:rsidRPr="00A772DF">
              <w:t xml:space="preserve">uarantees and warranties, </w:t>
            </w:r>
            <w:r>
              <w:t>c</w:t>
            </w:r>
            <w:r w:rsidRPr="00A772DF">
              <w:t xml:space="preserve">ontracts, </w:t>
            </w:r>
            <w:r>
              <w:t>l</w:t>
            </w:r>
            <w:r w:rsidRPr="00A772DF">
              <w:t>ay</w:t>
            </w:r>
            <w:r w:rsidR="00455542">
              <w:noBreakHyphen/>
            </w:r>
            <w:r w:rsidRPr="00A772DF">
              <w:t xml:space="preserve">by agreements, </w:t>
            </w:r>
            <w:r>
              <w:t>r</w:t>
            </w:r>
            <w:r w:rsidRPr="00A772DF">
              <w:t>esolving issues and lodging complaints</w:t>
            </w:r>
            <w:r w:rsidR="00455542">
              <w:t xml:space="preserve">. </w:t>
            </w:r>
          </w:p>
          <w:p w14:paraId="2B54BAD4" w14:textId="4DCEC78C" w:rsidR="00950DC9" w:rsidRPr="00A772DF" w:rsidRDefault="00950DC9" w:rsidP="00CF34FE">
            <w:pPr>
              <w:pStyle w:val="BoxText"/>
              <w:rPr>
                <w:rFonts w:cs="Arial"/>
              </w:rPr>
            </w:pPr>
            <w:r>
              <w:t>The videos outline consumers’ basic rights using appropriate language and visual cues to support viewer understanding</w:t>
            </w:r>
            <w:r w:rsidR="00455542">
              <w:t xml:space="preserve">. </w:t>
            </w:r>
            <w:r w:rsidRPr="00E848ED">
              <w:t>The videos use universal symbols and gestures to create animated stories to explain potentially complex subjects</w:t>
            </w:r>
            <w:r w:rsidR="00455542">
              <w:t xml:space="preserve">. </w:t>
            </w:r>
            <w:r>
              <w:t>E</w:t>
            </w:r>
            <w:r w:rsidRPr="00E848ED">
              <w:t>ducators and intermediaries</w:t>
            </w:r>
            <w:r>
              <w:t xml:space="preserve"> — </w:t>
            </w:r>
            <w:r w:rsidRPr="00CF34FE">
              <w:t>including</w:t>
            </w:r>
            <w:r>
              <w:t xml:space="preserve"> English language teachers, settlement services, community workers and community leaders — were consulted to ensure the videos’ effectiveness as a resource.</w:t>
            </w:r>
          </w:p>
          <w:p w14:paraId="2B54BAD5" w14:textId="77777777" w:rsidR="00950DC9" w:rsidRDefault="00950DC9" w:rsidP="00CF34FE">
            <w:pPr>
              <w:pStyle w:val="BoxText"/>
              <w:rPr>
                <w:rStyle w:val="Strong"/>
                <w:b w:val="0"/>
                <w:color w:val="auto"/>
                <w:szCs w:val="22"/>
                <w:lang w:val="en-US"/>
              </w:rPr>
            </w:pPr>
            <w:proofErr w:type="gramStart"/>
            <w:r w:rsidRPr="00A772DF">
              <w:rPr>
                <w:rStyle w:val="Strong"/>
                <w:b w:val="0"/>
                <w:color w:val="auto"/>
                <w:szCs w:val="22"/>
                <w:lang w:val="en-US"/>
              </w:rPr>
              <w:t xml:space="preserve">The </w:t>
            </w:r>
            <w:r w:rsidRPr="00A772DF">
              <w:rPr>
                <w:rStyle w:val="Strong"/>
                <w:b w:val="0"/>
                <w:i/>
                <w:color w:val="auto"/>
                <w:szCs w:val="22"/>
                <w:lang w:val="en-US"/>
              </w:rPr>
              <w:t>My</w:t>
            </w:r>
            <w:proofErr w:type="gramEnd"/>
            <w:r w:rsidRPr="00A772DF">
              <w:rPr>
                <w:rStyle w:val="Strong"/>
                <w:b w:val="0"/>
                <w:i/>
                <w:color w:val="auto"/>
                <w:szCs w:val="22"/>
                <w:lang w:val="en-US"/>
              </w:rPr>
              <w:t xml:space="preserve"> </w:t>
            </w:r>
            <w:r>
              <w:rPr>
                <w:rStyle w:val="Strong"/>
                <w:b w:val="0"/>
                <w:i/>
                <w:color w:val="auto"/>
                <w:szCs w:val="22"/>
                <w:lang w:val="en-US"/>
              </w:rPr>
              <w:t>c</w:t>
            </w:r>
            <w:r w:rsidRPr="00A772DF">
              <w:rPr>
                <w:rStyle w:val="Strong"/>
                <w:b w:val="0"/>
                <w:i/>
                <w:color w:val="auto"/>
                <w:szCs w:val="22"/>
                <w:lang w:val="en-US"/>
              </w:rPr>
              <w:t xml:space="preserve">onsumer </w:t>
            </w:r>
            <w:r>
              <w:rPr>
                <w:rStyle w:val="Strong"/>
                <w:b w:val="0"/>
                <w:i/>
                <w:color w:val="auto"/>
                <w:szCs w:val="22"/>
                <w:lang w:val="en-US"/>
              </w:rPr>
              <w:t>r</w:t>
            </w:r>
            <w:r w:rsidRPr="00A772DF">
              <w:rPr>
                <w:rStyle w:val="Strong"/>
                <w:b w:val="0"/>
                <w:i/>
                <w:color w:val="auto"/>
                <w:szCs w:val="22"/>
                <w:lang w:val="en-US"/>
              </w:rPr>
              <w:t xml:space="preserve">ights </w:t>
            </w:r>
            <w:r w:rsidRPr="00A772DF">
              <w:rPr>
                <w:rStyle w:val="Strong"/>
                <w:b w:val="0"/>
                <w:color w:val="auto"/>
                <w:szCs w:val="22"/>
                <w:lang w:val="en-US"/>
              </w:rPr>
              <w:t xml:space="preserve">animatic videos </w:t>
            </w:r>
            <w:r>
              <w:rPr>
                <w:rStyle w:val="Strong"/>
                <w:b w:val="0"/>
                <w:color w:val="auto"/>
                <w:szCs w:val="22"/>
                <w:lang w:val="en-US"/>
              </w:rPr>
              <w:t>are available</w:t>
            </w:r>
            <w:r w:rsidRPr="00A772DF">
              <w:rPr>
                <w:rStyle w:val="Strong"/>
                <w:b w:val="0"/>
                <w:color w:val="auto"/>
                <w:szCs w:val="22"/>
                <w:lang w:val="en-US"/>
              </w:rPr>
              <w:t xml:space="preserve"> through YouTube and on agency websites</w:t>
            </w:r>
            <w:r>
              <w:rPr>
                <w:rStyle w:val="Strong"/>
                <w:b w:val="0"/>
                <w:color w:val="auto"/>
                <w:szCs w:val="22"/>
                <w:lang w:val="en-US"/>
              </w:rPr>
              <w:t>.</w:t>
            </w:r>
          </w:p>
          <w:p w14:paraId="2B54BAD6" w14:textId="77777777" w:rsidR="00950DC9" w:rsidRPr="009C6840" w:rsidRDefault="00950DC9" w:rsidP="00B70D91">
            <w:pPr>
              <w:spacing w:line="240" w:lineRule="auto"/>
              <w:jc w:val="center"/>
              <w:rPr>
                <w:color w:val="auto"/>
                <w:szCs w:val="22"/>
              </w:rPr>
            </w:pPr>
            <w:r>
              <w:object w:dxaOrig="8970" w:dyaOrig="4980" w14:anchorId="2B54B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11.5pt" o:ole="">
                  <v:imagedata r:id="rId39" o:title=""/>
                </v:shape>
                <o:OLEObject Type="Embed" ProgID="PBrush" ShapeID="_x0000_i1025" DrawAspect="Content" ObjectID="_1445348216" r:id="rId40"/>
              </w:object>
            </w:r>
            <w:r>
              <w:br/>
            </w:r>
            <w:r w:rsidRPr="009C6840">
              <w:rPr>
                <w:rFonts w:ascii="Arial" w:hAnsi="Arial"/>
                <w:sz w:val="16"/>
              </w:rPr>
              <w:t xml:space="preserve">Source: </w:t>
            </w:r>
            <w:r>
              <w:rPr>
                <w:rFonts w:ascii="Arial" w:hAnsi="Arial"/>
                <w:sz w:val="16"/>
              </w:rPr>
              <w:t xml:space="preserve">My Shopping Rights video uploaded to </w:t>
            </w:r>
            <w:hyperlink r:id="rId41" w:history="1">
              <w:r w:rsidRPr="00140266">
                <w:rPr>
                  <w:rStyle w:val="Hyperlink"/>
                  <w:rFonts w:ascii="Arial" w:hAnsi="Arial"/>
                  <w:sz w:val="16"/>
                </w:rPr>
                <w:t>http://www.youtube.com</w:t>
              </w:r>
            </w:hyperlink>
          </w:p>
        </w:tc>
      </w:tr>
    </w:tbl>
    <w:p w14:paraId="2B54BAD8" w14:textId="77777777" w:rsidR="00301C87" w:rsidRDefault="00301C87">
      <w:pPr>
        <w:spacing w:after="0" w:line="240" w:lineRule="auto"/>
      </w:pPr>
      <w:r>
        <w:br w:type="page"/>
      </w:r>
    </w:p>
    <w:p w14:paraId="2B54BAD9" w14:textId="77777777" w:rsidR="00A772DF" w:rsidRDefault="00A772DF" w:rsidP="003C0DFA">
      <w:pPr>
        <w:pStyle w:val="Heading3"/>
      </w:pPr>
      <w:bookmarkStart w:id="74" w:name="_Toc342299524"/>
      <w:bookmarkStart w:id="75" w:name="_Toc370468062"/>
      <w:r w:rsidRPr="005F2657">
        <w:lastRenderedPageBreak/>
        <w:t>Supporting and promoting compliance activities</w:t>
      </w:r>
      <w:bookmarkEnd w:id="74"/>
      <w:bookmarkEnd w:id="75"/>
    </w:p>
    <w:p w14:paraId="2B54BADA" w14:textId="0FC3591A" w:rsidR="00C166B8" w:rsidRDefault="00B31101" w:rsidP="00C166B8">
      <w:pPr>
        <w:rPr>
          <w:rFonts w:cs="Arial"/>
          <w:szCs w:val="22"/>
        </w:rPr>
      </w:pPr>
      <w:r>
        <w:rPr>
          <w:rFonts w:cs="Arial"/>
          <w:szCs w:val="22"/>
        </w:rPr>
        <w:t>In 2012</w:t>
      </w:r>
      <w:r w:rsidR="00455542">
        <w:rPr>
          <w:rFonts w:cs="Arial"/>
          <w:szCs w:val="22"/>
        </w:rPr>
        <w:noBreakHyphen/>
      </w:r>
      <w:r>
        <w:rPr>
          <w:rFonts w:cs="Arial"/>
          <w:szCs w:val="22"/>
        </w:rPr>
        <w:t xml:space="preserve">13, </w:t>
      </w:r>
      <w:r w:rsidR="00E5627B">
        <w:rPr>
          <w:rFonts w:cs="Arial"/>
          <w:szCs w:val="22"/>
        </w:rPr>
        <w:t>EIAC promoted business compliance with the ACL by improving</w:t>
      </w:r>
      <w:r>
        <w:rPr>
          <w:rFonts w:cs="Arial"/>
          <w:szCs w:val="22"/>
        </w:rPr>
        <w:t xml:space="preserve"> businesses</w:t>
      </w:r>
      <w:r w:rsidR="00E5627B">
        <w:rPr>
          <w:rFonts w:cs="Arial"/>
          <w:szCs w:val="22"/>
        </w:rPr>
        <w:t>’</w:t>
      </w:r>
      <w:r>
        <w:rPr>
          <w:rFonts w:cs="Arial"/>
          <w:szCs w:val="22"/>
        </w:rPr>
        <w:t xml:space="preserve"> </w:t>
      </w:r>
      <w:r w:rsidR="00E5627B">
        <w:rPr>
          <w:rFonts w:cs="Arial"/>
          <w:szCs w:val="22"/>
        </w:rPr>
        <w:t>understanding</w:t>
      </w:r>
      <w:r w:rsidR="00C166B8">
        <w:rPr>
          <w:rFonts w:cs="Arial"/>
          <w:szCs w:val="22"/>
        </w:rPr>
        <w:t xml:space="preserve"> of their obligations </w:t>
      </w:r>
      <w:r>
        <w:rPr>
          <w:rFonts w:cs="Arial"/>
          <w:szCs w:val="22"/>
        </w:rPr>
        <w:t xml:space="preserve">under the </w:t>
      </w:r>
      <w:r w:rsidR="00E5627B">
        <w:rPr>
          <w:rFonts w:cs="Arial"/>
          <w:szCs w:val="22"/>
        </w:rPr>
        <w:t>law</w:t>
      </w:r>
      <w:r w:rsidR="00455542">
        <w:rPr>
          <w:rFonts w:cs="Arial"/>
          <w:szCs w:val="22"/>
        </w:rPr>
        <w:t xml:space="preserve">. </w:t>
      </w:r>
      <w:r w:rsidR="00C166B8">
        <w:rPr>
          <w:rFonts w:cs="Arial"/>
          <w:szCs w:val="22"/>
        </w:rPr>
        <w:t>A number of commu</w:t>
      </w:r>
      <w:r>
        <w:rPr>
          <w:rFonts w:cs="Arial"/>
          <w:szCs w:val="22"/>
        </w:rPr>
        <w:t>nication tools were produced</w:t>
      </w:r>
      <w:r w:rsidR="007F69FE">
        <w:rPr>
          <w:rFonts w:cs="Arial"/>
          <w:szCs w:val="22"/>
        </w:rPr>
        <w:t>,</w:t>
      </w:r>
      <w:r>
        <w:rPr>
          <w:rFonts w:cs="Arial"/>
          <w:szCs w:val="22"/>
        </w:rPr>
        <w:t xml:space="preserve"> with</w:t>
      </w:r>
      <w:r w:rsidR="00016F6E">
        <w:rPr>
          <w:rFonts w:cs="Arial"/>
          <w:szCs w:val="22"/>
        </w:rPr>
        <w:t xml:space="preserve"> consumer</w:t>
      </w:r>
      <w:r>
        <w:rPr>
          <w:rFonts w:cs="Arial"/>
          <w:szCs w:val="22"/>
        </w:rPr>
        <w:t xml:space="preserve"> agencies </w:t>
      </w:r>
      <w:r w:rsidR="00C166B8">
        <w:rPr>
          <w:rFonts w:cs="Arial"/>
          <w:szCs w:val="22"/>
        </w:rPr>
        <w:t xml:space="preserve">working together </w:t>
      </w:r>
      <w:r>
        <w:rPr>
          <w:rFonts w:cs="Arial"/>
          <w:szCs w:val="22"/>
        </w:rPr>
        <w:t>to develop</w:t>
      </w:r>
      <w:r w:rsidR="00C166B8">
        <w:rPr>
          <w:rFonts w:cs="Arial"/>
          <w:szCs w:val="22"/>
        </w:rPr>
        <w:t xml:space="preserve"> a series of detailed ACL guides and other educational materials to support the achievement of this priority. </w:t>
      </w:r>
    </w:p>
    <w:p w14:paraId="2B54BADB" w14:textId="659E36C2" w:rsidR="00810AF2" w:rsidRDefault="005E4731" w:rsidP="005E4731">
      <w:pPr>
        <w:rPr>
          <w:rFonts w:cs="Arial"/>
          <w:szCs w:val="22"/>
        </w:rPr>
      </w:pPr>
      <w:r>
        <w:rPr>
          <w:rFonts w:cs="Arial"/>
          <w:szCs w:val="22"/>
        </w:rPr>
        <w:t xml:space="preserve">Feedback received from traders during ACL education activities undertaken by </w:t>
      </w:r>
      <w:r w:rsidR="00016F6E">
        <w:rPr>
          <w:rFonts w:cs="Arial"/>
          <w:szCs w:val="22"/>
        </w:rPr>
        <w:t>consumer</w:t>
      </w:r>
      <w:r>
        <w:rPr>
          <w:rFonts w:cs="Arial"/>
          <w:szCs w:val="22"/>
        </w:rPr>
        <w:t xml:space="preserve"> agencies revealed that some businesses did not know which sections of the law applied to them</w:t>
      </w:r>
      <w:r w:rsidR="00455542">
        <w:rPr>
          <w:rFonts w:cs="Arial"/>
          <w:szCs w:val="22"/>
        </w:rPr>
        <w:t xml:space="preserve">. </w:t>
      </w:r>
      <w:r>
        <w:rPr>
          <w:rFonts w:cs="Arial"/>
          <w:szCs w:val="22"/>
        </w:rPr>
        <w:t xml:space="preserve"> Feedback also revealed that some small businesses did not have sufficient resources, particularly staff or time, to read through detailed education materials. To engage with these businesses, the </w:t>
      </w:r>
      <w:r>
        <w:rPr>
          <w:rFonts w:cs="Arial"/>
          <w:i/>
          <w:szCs w:val="22"/>
        </w:rPr>
        <w:t>Small business self</w:t>
      </w:r>
      <w:r w:rsidR="00455542">
        <w:rPr>
          <w:rFonts w:cs="Arial"/>
          <w:i/>
          <w:szCs w:val="22"/>
        </w:rPr>
        <w:noBreakHyphen/>
      </w:r>
      <w:r>
        <w:rPr>
          <w:rFonts w:cs="Arial"/>
          <w:i/>
          <w:szCs w:val="22"/>
        </w:rPr>
        <w:t xml:space="preserve">assessment checklist </w:t>
      </w:r>
      <w:r>
        <w:rPr>
          <w:rFonts w:cs="Arial"/>
          <w:szCs w:val="22"/>
        </w:rPr>
        <w:t>(the Checklist) was designed as a quick reference guide</w:t>
      </w:r>
      <w:r w:rsidR="007F69FE">
        <w:rPr>
          <w:rFonts w:cs="Arial"/>
          <w:szCs w:val="22"/>
        </w:rPr>
        <w:t>,</w:t>
      </w:r>
      <w:r>
        <w:rPr>
          <w:rFonts w:cs="Arial"/>
          <w:szCs w:val="22"/>
        </w:rPr>
        <w:t xml:space="preserve"> with examples that businesses could </w:t>
      </w:r>
      <w:r w:rsidR="002C7FAD">
        <w:rPr>
          <w:rFonts w:cs="Arial"/>
          <w:szCs w:val="22"/>
        </w:rPr>
        <w:t xml:space="preserve">readily </w:t>
      </w:r>
      <w:r>
        <w:rPr>
          <w:rFonts w:cs="Arial"/>
          <w:szCs w:val="22"/>
        </w:rPr>
        <w:t>relate</w:t>
      </w:r>
      <w:r w:rsidR="007F69FE">
        <w:rPr>
          <w:rFonts w:cs="Arial"/>
          <w:szCs w:val="22"/>
        </w:rPr>
        <w:t xml:space="preserve"> to</w:t>
      </w:r>
      <w:r>
        <w:rPr>
          <w:rFonts w:cs="Arial"/>
          <w:szCs w:val="22"/>
        </w:rPr>
        <w:t>. The Checklist was launched nationally to coincide with World Consumer Rights Day on Friday 15 March 2013</w:t>
      </w:r>
      <w:r w:rsidR="00455542">
        <w:rPr>
          <w:rFonts w:cs="Arial"/>
          <w:szCs w:val="22"/>
        </w:rPr>
        <w:t xml:space="preserve">. </w:t>
      </w:r>
      <w:r>
        <w:rPr>
          <w:rFonts w:cs="Arial"/>
          <w:szCs w:val="22"/>
        </w:rPr>
        <w:t>The Checklist was widely accessed through consumer agencies’ social media channels and websites</w:t>
      </w:r>
      <w:r w:rsidR="00132A59">
        <w:rPr>
          <w:rFonts w:cs="Arial"/>
          <w:szCs w:val="22"/>
        </w:rPr>
        <w:t xml:space="preserve"> (see Case study </w:t>
      </w:r>
      <w:r w:rsidR="00C21AC8">
        <w:rPr>
          <w:rFonts w:cs="Arial"/>
          <w:szCs w:val="22"/>
        </w:rPr>
        <w:t>6</w:t>
      </w:r>
      <w:r w:rsidR="00132A59">
        <w:rPr>
          <w:rFonts w:cs="Arial"/>
          <w:szCs w:val="22"/>
        </w:rPr>
        <w:t>).</w:t>
      </w:r>
    </w:p>
    <w:p w14:paraId="2B54BADC" w14:textId="137B9161" w:rsidR="006A021B" w:rsidRDefault="00810AF2" w:rsidP="005E4731">
      <w:pPr>
        <w:rPr>
          <w:szCs w:val="22"/>
        </w:rPr>
      </w:pPr>
      <w:r w:rsidRPr="0009646C">
        <w:rPr>
          <w:szCs w:val="22"/>
        </w:rPr>
        <w:t xml:space="preserve">To further assist businesses </w:t>
      </w:r>
      <w:r w:rsidR="008A7FAF">
        <w:rPr>
          <w:szCs w:val="22"/>
        </w:rPr>
        <w:t xml:space="preserve">to </w:t>
      </w:r>
      <w:r w:rsidRPr="0009646C">
        <w:rPr>
          <w:szCs w:val="22"/>
        </w:rPr>
        <w:t xml:space="preserve">understand their ACL rights and obligations, EIAC developed a series of guides </w:t>
      </w:r>
      <w:r w:rsidR="007F69FE">
        <w:rPr>
          <w:szCs w:val="22"/>
        </w:rPr>
        <w:t>aimed at providing</w:t>
      </w:r>
      <w:r w:rsidRPr="0009646C">
        <w:rPr>
          <w:szCs w:val="22"/>
        </w:rPr>
        <w:t xml:space="preserve"> an easy</w:t>
      </w:r>
      <w:r w:rsidR="00455542">
        <w:rPr>
          <w:szCs w:val="22"/>
        </w:rPr>
        <w:noBreakHyphen/>
      </w:r>
      <w:r w:rsidRPr="0009646C">
        <w:rPr>
          <w:szCs w:val="22"/>
        </w:rPr>
        <w:t>to</w:t>
      </w:r>
      <w:r w:rsidR="00455542">
        <w:rPr>
          <w:szCs w:val="22"/>
        </w:rPr>
        <w:noBreakHyphen/>
      </w:r>
      <w:r w:rsidRPr="0009646C">
        <w:rPr>
          <w:szCs w:val="22"/>
        </w:rPr>
        <w:t>use reference tool for operators in the rental car, personal services, travel and accommodation, motor vehicle sales and repairs, and electrical and whitegoods sectors</w:t>
      </w:r>
      <w:r>
        <w:rPr>
          <w:szCs w:val="22"/>
        </w:rPr>
        <w:t xml:space="preserve"> (see Case study </w:t>
      </w:r>
      <w:r w:rsidR="00C21AC8">
        <w:rPr>
          <w:szCs w:val="22"/>
        </w:rPr>
        <w:t>7</w:t>
      </w:r>
      <w:r>
        <w:rPr>
          <w:szCs w:val="22"/>
        </w:rPr>
        <w:t>)</w:t>
      </w:r>
      <w:r w:rsidRPr="0009646C">
        <w:rPr>
          <w:szCs w:val="22"/>
        </w:rPr>
        <w:t>.</w:t>
      </w:r>
    </w:p>
    <w:p w14:paraId="2B54BADD" w14:textId="77777777" w:rsidR="009C2DEB" w:rsidRPr="00B70D91" w:rsidRDefault="006A021B" w:rsidP="00B70D91">
      <w:pPr>
        <w:spacing w:after="0" w:line="240" w:lineRule="auto"/>
        <w:rPr>
          <w:szCs w:val="22"/>
        </w:rPr>
      </w:pPr>
      <w:r>
        <w:rPr>
          <w:szCs w:val="22"/>
        </w:rPr>
        <w:br w:type="page"/>
      </w:r>
    </w:p>
    <w:tbl>
      <w:tblPr>
        <w:tblStyle w:val="TableGrid"/>
        <w:tblW w:w="0" w:type="auto"/>
        <w:tblLook w:val="04A0" w:firstRow="1" w:lastRow="0" w:firstColumn="1" w:lastColumn="0" w:noHBand="0" w:noVBand="1"/>
      </w:tblPr>
      <w:tblGrid>
        <w:gridCol w:w="9286"/>
      </w:tblGrid>
      <w:tr w:rsidR="009C2DEB" w14:paraId="2B54BAE5" w14:textId="77777777" w:rsidTr="009C2DEB">
        <w:tc>
          <w:tcPr>
            <w:tcW w:w="9286" w:type="dxa"/>
          </w:tcPr>
          <w:p w14:paraId="2B54BADE" w14:textId="34DE7974" w:rsidR="009C2DEB" w:rsidRPr="00A772DF" w:rsidRDefault="00795FCA" w:rsidP="00CF34FE">
            <w:pPr>
              <w:pStyle w:val="BoxHeading"/>
            </w:pPr>
            <w:r>
              <w:lastRenderedPageBreak/>
              <w:t xml:space="preserve">Case study </w:t>
            </w:r>
            <w:r w:rsidR="00C21AC8">
              <w:t>6</w:t>
            </w:r>
            <w:r w:rsidR="009C2DEB" w:rsidRPr="00A772DF">
              <w:t xml:space="preserve"> —  Small business self</w:t>
            </w:r>
            <w:r w:rsidR="00455542">
              <w:noBreakHyphen/>
            </w:r>
            <w:r w:rsidR="009C2DEB">
              <w:t>assessment checklist</w:t>
            </w:r>
          </w:p>
          <w:p w14:paraId="2B54BADF" w14:textId="7A8D4361" w:rsidR="009C2DEB" w:rsidRDefault="009C2DEB" w:rsidP="00CF34FE">
            <w:pPr>
              <w:pStyle w:val="BoxText"/>
            </w:pPr>
            <w:r>
              <w:t xml:space="preserve">EIAC developed and produced the </w:t>
            </w:r>
            <w:r>
              <w:rPr>
                <w:i/>
              </w:rPr>
              <w:t>Small business self</w:t>
            </w:r>
            <w:r w:rsidR="00455542">
              <w:rPr>
                <w:i/>
              </w:rPr>
              <w:noBreakHyphen/>
            </w:r>
            <w:r>
              <w:rPr>
                <w:i/>
              </w:rPr>
              <w:t xml:space="preserve">assessment checklist </w:t>
            </w:r>
            <w:r w:rsidR="00825F76">
              <w:t>(the Checklist) to reduce confusion and make it easier for businesses to become aware of their rights and obligations under the ACL.</w:t>
            </w:r>
          </w:p>
          <w:p w14:paraId="2B54BAE0" w14:textId="09625169" w:rsidR="009C2DEB" w:rsidRDefault="009C2DEB" w:rsidP="00CF34FE">
            <w:pPr>
              <w:pStyle w:val="BoxText"/>
            </w:pPr>
            <w:r>
              <w:t>The Checklist was designed as an interactive online tool for businesses to conduct a self</w:t>
            </w:r>
            <w:r w:rsidR="00455542">
              <w:noBreakHyphen/>
            </w:r>
            <w:r>
              <w:t>audit to identify which of their business activities are regulated under the ACL. The Checklist also connects businesses to useful information on the ACL.</w:t>
            </w:r>
          </w:p>
          <w:p w14:paraId="2B54BAE1" w14:textId="5C4B02B0" w:rsidR="009C2DEB" w:rsidRDefault="009C2DEB" w:rsidP="00CF34FE">
            <w:pPr>
              <w:pStyle w:val="BoxText"/>
            </w:pPr>
            <w:r>
              <w:t xml:space="preserve">The Checklist includes 25 questions over three sections relevant to small businesses such as ‘setting up your </w:t>
            </w:r>
            <w:proofErr w:type="gramStart"/>
            <w:r>
              <w:t>business’</w:t>
            </w:r>
            <w:proofErr w:type="gramEnd"/>
            <w:r>
              <w:t>, ‘selling your goods and services’ and ‘solving your consumer problems’. The Checklist allows businesses to perform self</w:t>
            </w:r>
            <w:r w:rsidR="00455542">
              <w:noBreakHyphen/>
            </w:r>
            <w:r>
              <w:t>audits on matters such as contracts, advertising, consumer guarantees, refunds, lay</w:t>
            </w:r>
            <w:r w:rsidR="00455542">
              <w:noBreakHyphen/>
            </w:r>
            <w:r>
              <w:t>bys, billing and receipts.</w:t>
            </w:r>
          </w:p>
          <w:p w14:paraId="2B54BAE2" w14:textId="7369799F" w:rsidR="00093EBE" w:rsidRDefault="00093EBE" w:rsidP="00CF34FE">
            <w:pPr>
              <w:pStyle w:val="BoxText"/>
            </w:pPr>
            <w:r>
              <w:t xml:space="preserve">The Checklist was </w:t>
            </w:r>
            <w:r w:rsidR="007F69FE">
              <w:t xml:space="preserve">widely distributed </w:t>
            </w:r>
            <w:r>
              <w:t>with 15,000 copies mailed to consumer agencies for distribution amongst stakeholders and regional offices as well as for use during education and engagement activities</w:t>
            </w:r>
            <w:r w:rsidR="00455542">
              <w:t xml:space="preserve">. </w:t>
            </w:r>
            <w:r>
              <w:t xml:space="preserve">An interactive version of the Checklist was released as a Portable Document Format (PDF) </w:t>
            </w:r>
            <w:proofErr w:type="gramStart"/>
            <w:r>
              <w:t>file</w:t>
            </w:r>
            <w:proofErr w:type="gramEnd"/>
            <w:r>
              <w:t xml:space="preserve"> and is available on consumer agencies’ websites across Australia.</w:t>
            </w:r>
          </w:p>
          <w:p w14:paraId="2B54BAE3" w14:textId="30F2A9F3" w:rsidR="00093EBE" w:rsidRDefault="00093EBE" w:rsidP="00CF34FE">
            <w:pPr>
              <w:pStyle w:val="BoxText"/>
            </w:pPr>
            <w:r>
              <w:t>Feedback received from businesses indicate</w:t>
            </w:r>
            <w:r w:rsidR="0045007F">
              <w:t>s</w:t>
            </w:r>
            <w:r>
              <w:t xml:space="preserve"> that the resource is easy to understand and has supported them in understanding their obligations under the ACL</w:t>
            </w:r>
            <w:r w:rsidR="00455542">
              <w:t xml:space="preserve">. </w:t>
            </w:r>
            <w:r>
              <w:t xml:space="preserve">Consumer agencies </w:t>
            </w:r>
            <w:r w:rsidR="0045007F">
              <w:t xml:space="preserve">have </w:t>
            </w:r>
            <w:r>
              <w:t xml:space="preserve">indicated that </w:t>
            </w:r>
            <w:r w:rsidR="00132D03">
              <w:t>the Checklist</w:t>
            </w:r>
            <w:r>
              <w:t xml:space="preserve"> has been effective in supporting existing education activities for businesses and has provided a base for further online small business education programs.</w:t>
            </w:r>
          </w:p>
          <w:p w14:paraId="2B54BAE4" w14:textId="4C57C005" w:rsidR="00093EBE" w:rsidRDefault="00093EBE" w:rsidP="009C6840">
            <w:pPr>
              <w:spacing w:line="240" w:lineRule="auto"/>
              <w:jc w:val="center"/>
              <w:rPr>
                <w:rFonts w:cs="Arial"/>
                <w:szCs w:val="22"/>
              </w:rPr>
            </w:pPr>
            <w:r>
              <w:rPr>
                <w:noProof/>
              </w:rPr>
              <w:drawing>
                <wp:inline distT="0" distB="0" distL="0" distR="0" wp14:anchorId="2B54BC30" wp14:editId="2B54BC31">
                  <wp:extent cx="2071143" cy="2819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2645" cy="2821444"/>
                          </a:xfrm>
                          <a:prstGeom prst="rect">
                            <a:avLst/>
                          </a:prstGeom>
                          <a:noFill/>
                        </pic:spPr>
                      </pic:pic>
                    </a:graphicData>
                  </a:graphic>
                </wp:inline>
              </w:drawing>
            </w:r>
            <w:r>
              <w:br/>
            </w:r>
            <w:r w:rsidRPr="00986584">
              <w:rPr>
                <w:rFonts w:ascii="Arial" w:hAnsi="Arial"/>
                <w:sz w:val="16"/>
              </w:rPr>
              <w:t xml:space="preserve">Source: </w:t>
            </w:r>
            <w:r w:rsidRPr="001572CD">
              <w:rPr>
                <w:rFonts w:ascii="Arial" w:hAnsi="Arial"/>
                <w:sz w:val="16"/>
              </w:rPr>
              <w:t xml:space="preserve">Small business checklist available </w:t>
            </w:r>
            <w:hyperlink r:id="rId43" w:history="1">
              <w:r w:rsidRPr="00300B46">
                <w:rPr>
                  <w:rStyle w:val="Hyperlink"/>
                  <w:rFonts w:ascii="Arial" w:hAnsi="Arial"/>
                  <w:sz w:val="16"/>
                </w:rPr>
                <w:t>on</w:t>
              </w:r>
            </w:hyperlink>
            <w:r>
              <w:rPr>
                <w:rFonts w:ascii="Arial" w:hAnsi="Arial"/>
                <w:sz w:val="16"/>
              </w:rPr>
              <w:t xml:space="preserve"> consumer agencies’ websites</w:t>
            </w:r>
          </w:p>
        </w:tc>
      </w:tr>
    </w:tbl>
    <w:p w14:paraId="2B54BAE6" w14:textId="77777777" w:rsidR="009C2DEB" w:rsidRDefault="009C2DEB">
      <w:pPr>
        <w:spacing w:after="0" w:line="240" w:lineRule="auto"/>
        <w:rPr>
          <w:rFonts w:cs="Arial"/>
          <w:szCs w:val="22"/>
        </w:rPr>
      </w:pPr>
      <w:r>
        <w:rPr>
          <w:rFonts w:cs="Arial"/>
          <w:szCs w:val="22"/>
        </w:rPr>
        <w:br w:type="page"/>
      </w:r>
    </w:p>
    <w:tbl>
      <w:tblPr>
        <w:tblStyle w:val="TableGrid"/>
        <w:tblW w:w="0" w:type="auto"/>
        <w:tblLook w:val="04A0" w:firstRow="1" w:lastRow="0" w:firstColumn="1" w:lastColumn="0" w:noHBand="0" w:noVBand="1"/>
      </w:tblPr>
      <w:tblGrid>
        <w:gridCol w:w="9286"/>
      </w:tblGrid>
      <w:tr w:rsidR="003C0DFA" w14:paraId="2B54BAF5" w14:textId="77777777" w:rsidTr="003C0DFA">
        <w:tc>
          <w:tcPr>
            <w:tcW w:w="9286" w:type="dxa"/>
          </w:tcPr>
          <w:p w14:paraId="2B54BAE7" w14:textId="77777777" w:rsidR="003C0DFA" w:rsidRPr="003C0DFA" w:rsidRDefault="003C0DFA" w:rsidP="00CF34FE">
            <w:pPr>
              <w:pStyle w:val="BoxHeading"/>
            </w:pPr>
            <w:r w:rsidRPr="003C0DFA">
              <w:lastRenderedPageBreak/>
              <w:t xml:space="preserve">Case study </w:t>
            </w:r>
            <w:r w:rsidR="00C21AC8">
              <w:t>7</w:t>
            </w:r>
            <w:r w:rsidRPr="003C0DFA">
              <w:t xml:space="preserve"> — Industry guides</w:t>
            </w:r>
          </w:p>
          <w:p w14:paraId="2B54BAE8" w14:textId="77777777" w:rsidR="003C0DFA" w:rsidRDefault="00810AF2" w:rsidP="00CF34FE">
            <w:pPr>
              <w:pStyle w:val="BoxText"/>
            </w:pPr>
            <w:r>
              <w:t>Industry</w:t>
            </w:r>
            <w:r w:rsidR="003C0DFA" w:rsidRPr="0009646C">
              <w:t xml:space="preserve"> guides</w:t>
            </w:r>
            <w:r>
              <w:t xml:space="preserve"> were developed to</w:t>
            </w:r>
            <w:r w:rsidR="003C0DFA" w:rsidRPr="0009646C">
              <w:t xml:space="preserve"> address key concerns and detriment</w:t>
            </w:r>
            <w:r>
              <w:t>,</w:t>
            </w:r>
            <w:r w:rsidR="003C0DFA" w:rsidRPr="0009646C">
              <w:t xml:space="preserve"> encountered by both industry and </w:t>
            </w:r>
            <w:proofErr w:type="gramStart"/>
            <w:r w:rsidR="003C0DFA" w:rsidRPr="0009646C">
              <w:t>consumers</w:t>
            </w:r>
            <w:r>
              <w:t>,</w:t>
            </w:r>
            <w:r w:rsidR="003C0DFA" w:rsidRPr="0009646C">
              <w:t xml:space="preserve"> </w:t>
            </w:r>
            <w:r>
              <w:t>that</w:t>
            </w:r>
            <w:proofErr w:type="gramEnd"/>
            <w:r>
              <w:t xml:space="preserve"> were identified</w:t>
            </w:r>
            <w:r w:rsidR="003C0DFA" w:rsidRPr="0009646C">
              <w:t xml:space="preserve"> through a survey of EIAC member agencies and feedback from industry organisations. They cover key aspects of the law such as contract terms, deposits, refunds and cancellations, </w:t>
            </w:r>
            <w:r w:rsidR="0045007F">
              <w:t xml:space="preserve">and </w:t>
            </w:r>
            <w:r w:rsidR="003C0DFA" w:rsidRPr="0009646C">
              <w:t>focus on issues where:</w:t>
            </w:r>
          </w:p>
          <w:p w14:paraId="2B54BAE9" w14:textId="77777777" w:rsidR="005E4731" w:rsidRPr="0009646C" w:rsidRDefault="005E4731" w:rsidP="00CF34FE">
            <w:pPr>
              <w:pStyle w:val="BoxBullet"/>
            </w:pPr>
            <w:r w:rsidRPr="0009646C">
              <w:t>industry bodies requested more detailed guidance for business</w:t>
            </w:r>
            <w:r>
              <w:t>; and</w:t>
            </w:r>
          </w:p>
          <w:p w14:paraId="2B54BAEA" w14:textId="77777777" w:rsidR="00810AF2" w:rsidRPr="0009646C" w:rsidRDefault="005E4731" w:rsidP="00CF34FE">
            <w:pPr>
              <w:pStyle w:val="BoxBullet"/>
            </w:pPr>
            <w:proofErr w:type="gramStart"/>
            <w:r w:rsidRPr="0009646C">
              <w:t>consumers</w:t>
            </w:r>
            <w:proofErr w:type="gramEnd"/>
            <w:r w:rsidRPr="0009646C">
              <w:t xml:space="preserve"> frequently reported problems to national, state and territory consumer agencies.</w:t>
            </w:r>
          </w:p>
          <w:p w14:paraId="2B54BAEB" w14:textId="77777777" w:rsidR="00810AF2" w:rsidRDefault="00810AF2">
            <w:pPr>
              <w:spacing w:line="240" w:lineRule="auto"/>
              <w:jc w:val="center"/>
              <w:rPr>
                <w:rFonts w:ascii="Arial" w:hAnsi="Arial"/>
                <w:sz w:val="16"/>
              </w:rPr>
            </w:pPr>
            <w:r>
              <w:rPr>
                <w:noProof/>
              </w:rPr>
              <w:drawing>
                <wp:inline distT="0" distB="0" distL="0" distR="0" wp14:anchorId="2B54BC32" wp14:editId="2B54BC33">
                  <wp:extent cx="1985875" cy="227758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5483" b="14270"/>
                          <a:stretch/>
                        </pic:blipFill>
                        <pic:spPr bwMode="auto">
                          <a:xfrm>
                            <a:off x="0" y="0"/>
                            <a:ext cx="1986349" cy="22781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54BC34" wp14:editId="2B54BC35">
                  <wp:extent cx="2002579" cy="2288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5204" b="14525"/>
                          <a:stretch/>
                        </pic:blipFill>
                        <pic:spPr bwMode="auto">
                          <a:xfrm>
                            <a:off x="0" y="0"/>
                            <a:ext cx="2011029" cy="2298463"/>
                          </a:xfrm>
                          <a:prstGeom prst="rect">
                            <a:avLst/>
                          </a:prstGeom>
                          <a:ln>
                            <a:noFill/>
                          </a:ln>
                          <a:extLst>
                            <a:ext uri="{53640926-AAD7-44D8-BBD7-CCE9431645EC}">
                              <a14:shadowObscured xmlns:a14="http://schemas.microsoft.com/office/drawing/2010/main"/>
                            </a:ext>
                          </a:extLst>
                        </pic:spPr>
                      </pic:pic>
                    </a:graphicData>
                  </a:graphic>
                </wp:inline>
              </w:drawing>
            </w:r>
            <w:r>
              <w:br/>
            </w:r>
            <w:r w:rsidRPr="00986584">
              <w:rPr>
                <w:rFonts w:ascii="Arial" w:hAnsi="Arial"/>
                <w:sz w:val="16"/>
              </w:rPr>
              <w:t>Source: Industry guides</w:t>
            </w:r>
            <w:r>
              <w:rPr>
                <w:rFonts w:ascii="Arial" w:hAnsi="Arial"/>
                <w:sz w:val="16"/>
              </w:rPr>
              <w:t xml:space="preserve"> available on agency websites</w:t>
            </w:r>
          </w:p>
          <w:p w14:paraId="2B54BAEC" w14:textId="1F955299" w:rsidR="00FB50A8" w:rsidRDefault="00810AF2" w:rsidP="00CF34FE">
            <w:pPr>
              <w:pStyle w:val="BoxText"/>
            </w:pPr>
            <w:r w:rsidRPr="0009646C">
              <w:t xml:space="preserve">In addition, the electrical and whitegoods industry guide incorporates information obtained from the </w:t>
            </w:r>
            <w:r w:rsidR="00FB50A8">
              <w:t>2011</w:t>
            </w:r>
            <w:r w:rsidR="00455542">
              <w:noBreakHyphen/>
            </w:r>
            <w:r w:rsidR="00FB50A8">
              <w:t xml:space="preserve">12 </w:t>
            </w:r>
            <w:r w:rsidRPr="0009646C">
              <w:t>CDRAC consumer guarantees natio</w:t>
            </w:r>
            <w:r>
              <w:t>nal project</w:t>
            </w:r>
            <w:r w:rsidR="00455542">
              <w:t xml:space="preserve">. </w:t>
            </w:r>
          </w:p>
          <w:p w14:paraId="2B54BAED" w14:textId="77777777" w:rsidR="007C5B21" w:rsidRDefault="00810AF2" w:rsidP="00CF34FE">
            <w:pPr>
              <w:pStyle w:val="BoxText"/>
            </w:pPr>
            <w:r w:rsidRPr="0009646C">
              <w:t>These new industry guides supplement the series of guides developed for business and legal practitioners in 2011 that covered the following areas:</w:t>
            </w:r>
          </w:p>
          <w:p w14:paraId="2B54BAEE" w14:textId="77777777" w:rsidR="007C5B21" w:rsidRPr="00CF34FE" w:rsidRDefault="007C5B21" w:rsidP="00CF34FE">
            <w:pPr>
              <w:pStyle w:val="BoxBullet"/>
              <w:rPr>
                <w:i/>
              </w:rPr>
            </w:pPr>
            <w:r w:rsidRPr="00CF34FE">
              <w:rPr>
                <w:i/>
              </w:rPr>
              <w:t>A guide to unfair contract terms law;</w:t>
            </w:r>
          </w:p>
          <w:p w14:paraId="2B54BAEF" w14:textId="77777777" w:rsidR="007C5B21" w:rsidRPr="00CF34FE" w:rsidRDefault="007C5B21" w:rsidP="00CF34FE">
            <w:pPr>
              <w:pStyle w:val="BoxBullet"/>
              <w:rPr>
                <w:i/>
              </w:rPr>
            </w:pPr>
            <w:r w:rsidRPr="00CF34FE">
              <w:rPr>
                <w:i/>
              </w:rPr>
              <w:t xml:space="preserve">Avoiding unfair business practices; </w:t>
            </w:r>
          </w:p>
          <w:p w14:paraId="2B54BAF0" w14:textId="77777777" w:rsidR="007C5B21" w:rsidRPr="00CF34FE" w:rsidRDefault="007C5B21" w:rsidP="00CF34FE">
            <w:pPr>
              <w:pStyle w:val="BoxBullet"/>
              <w:rPr>
                <w:i/>
              </w:rPr>
            </w:pPr>
            <w:r w:rsidRPr="00CF34FE">
              <w:rPr>
                <w:i/>
              </w:rPr>
              <w:t xml:space="preserve">Consumer guarantees; </w:t>
            </w:r>
          </w:p>
          <w:p w14:paraId="2B54BAF1" w14:textId="77777777" w:rsidR="007C5B21" w:rsidRPr="00CF34FE" w:rsidRDefault="007C5B21" w:rsidP="00CF34FE">
            <w:pPr>
              <w:pStyle w:val="BoxBullet"/>
              <w:rPr>
                <w:i/>
              </w:rPr>
            </w:pPr>
            <w:r w:rsidRPr="00CF34FE">
              <w:rPr>
                <w:i/>
              </w:rPr>
              <w:t xml:space="preserve">Sales practices; </w:t>
            </w:r>
          </w:p>
          <w:p w14:paraId="2B54BAF2" w14:textId="77777777" w:rsidR="007C5B21" w:rsidRPr="00CF34FE" w:rsidRDefault="007C5B21" w:rsidP="00CF34FE">
            <w:pPr>
              <w:pStyle w:val="BoxBullet"/>
              <w:rPr>
                <w:i/>
              </w:rPr>
            </w:pPr>
            <w:r w:rsidRPr="00CF34FE">
              <w:rPr>
                <w:i/>
              </w:rPr>
              <w:t>Compliance and enforcement: how regulators enforce the Australian Consumer Law; and</w:t>
            </w:r>
          </w:p>
          <w:p w14:paraId="2B54BAF3" w14:textId="77777777" w:rsidR="007C5B21" w:rsidRPr="00CF34FE" w:rsidRDefault="007C5B21" w:rsidP="00CF34FE">
            <w:pPr>
              <w:pStyle w:val="BoxBullet"/>
              <w:rPr>
                <w:i/>
              </w:rPr>
            </w:pPr>
            <w:r w:rsidRPr="00CF34FE">
              <w:rPr>
                <w:i/>
              </w:rPr>
              <w:t xml:space="preserve">Product safety. </w:t>
            </w:r>
          </w:p>
          <w:p w14:paraId="2B54BAF4" w14:textId="77777777" w:rsidR="003C0DFA" w:rsidRDefault="007C5B21" w:rsidP="00CF34FE">
            <w:pPr>
              <w:pStyle w:val="BoxText"/>
            </w:pPr>
            <w:r w:rsidRPr="0009646C">
              <w:t>The industry guides are available on agency websites and have been distributed to relevant industry sectors as we</w:t>
            </w:r>
            <w:r>
              <w:t>ll as promoted via social media.</w:t>
            </w:r>
          </w:p>
        </w:tc>
      </w:tr>
    </w:tbl>
    <w:p w14:paraId="2B54BAF6" w14:textId="77777777" w:rsidR="00EE72E2" w:rsidRDefault="00EE72E2" w:rsidP="00CF34FE">
      <w:pPr>
        <w:pStyle w:val="SingleParagraph"/>
      </w:pPr>
    </w:p>
    <w:p w14:paraId="2B54BAF7" w14:textId="77777777" w:rsidR="00EE72E2" w:rsidRDefault="00EE72E2">
      <w:pPr>
        <w:spacing w:after="0" w:line="240" w:lineRule="auto"/>
        <w:rPr>
          <w:rFonts w:ascii="Arial" w:hAnsi="Arial" w:cs="Arial"/>
          <w:b/>
          <w:bCs/>
          <w:color w:val="00673A"/>
          <w:sz w:val="26"/>
          <w:szCs w:val="26"/>
        </w:rPr>
      </w:pPr>
      <w:r>
        <w:br w:type="page"/>
      </w:r>
    </w:p>
    <w:p w14:paraId="2B54BAF8" w14:textId="77777777" w:rsidR="007C5B21" w:rsidRPr="00247519" w:rsidRDefault="007C5B21" w:rsidP="007C5B21">
      <w:pPr>
        <w:pStyle w:val="Heading3"/>
      </w:pPr>
      <w:bookmarkStart w:id="76" w:name="_Toc370468063"/>
      <w:r>
        <w:lastRenderedPageBreak/>
        <w:t>Assisting consumers as they engage with the marketplace</w:t>
      </w:r>
      <w:bookmarkEnd w:id="76"/>
    </w:p>
    <w:p w14:paraId="2B54BAF9" w14:textId="2BBBBB45" w:rsidR="007C5B21" w:rsidRDefault="007C5B21" w:rsidP="007C5B21">
      <w:pPr>
        <w:rPr>
          <w:rFonts w:cs="Arial"/>
          <w:szCs w:val="22"/>
        </w:rPr>
      </w:pPr>
      <w:r w:rsidRPr="00097593">
        <w:rPr>
          <w:rFonts w:cs="Arial"/>
          <w:szCs w:val="22"/>
        </w:rPr>
        <w:t>In 2012</w:t>
      </w:r>
      <w:r w:rsidR="00455542">
        <w:rPr>
          <w:rFonts w:cs="Arial"/>
          <w:szCs w:val="22"/>
        </w:rPr>
        <w:noBreakHyphen/>
      </w:r>
      <w:r w:rsidRPr="00097593">
        <w:rPr>
          <w:rFonts w:cs="Arial"/>
          <w:szCs w:val="22"/>
        </w:rPr>
        <w:t>13</w:t>
      </w:r>
      <w:r>
        <w:rPr>
          <w:rFonts w:cs="Arial"/>
          <w:szCs w:val="22"/>
        </w:rPr>
        <w:t>,</w:t>
      </w:r>
      <w:r w:rsidRPr="00097593">
        <w:rPr>
          <w:rFonts w:cs="Arial"/>
          <w:szCs w:val="22"/>
        </w:rPr>
        <w:t xml:space="preserve"> EIAC continued its use of multiple channels to inform consumers and businesses about their rights and obligations under the ACL</w:t>
      </w:r>
      <w:r w:rsidR="00455542">
        <w:rPr>
          <w:rFonts w:cs="Arial"/>
          <w:szCs w:val="22"/>
        </w:rPr>
        <w:t xml:space="preserve">. </w:t>
      </w:r>
      <w:r w:rsidRPr="00097593">
        <w:rPr>
          <w:rFonts w:cs="Arial"/>
          <w:szCs w:val="22"/>
        </w:rPr>
        <w:t>Information and education was provided through traditional channels such as printed publications and face</w:t>
      </w:r>
      <w:r w:rsidR="00455542">
        <w:rPr>
          <w:rFonts w:cs="Arial"/>
          <w:szCs w:val="22"/>
        </w:rPr>
        <w:noBreakHyphen/>
      </w:r>
      <w:r w:rsidRPr="00097593">
        <w:rPr>
          <w:rFonts w:cs="Arial"/>
          <w:szCs w:val="22"/>
        </w:rPr>
        <w:t>to</w:t>
      </w:r>
      <w:r w:rsidR="00455542">
        <w:rPr>
          <w:rFonts w:cs="Arial"/>
          <w:szCs w:val="22"/>
        </w:rPr>
        <w:noBreakHyphen/>
      </w:r>
      <w:r w:rsidRPr="00097593">
        <w:rPr>
          <w:rFonts w:cs="Arial"/>
          <w:szCs w:val="22"/>
        </w:rPr>
        <w:t>face delivery</w:t>
      </w:r>
      <w:r w:rsidR="00A72A45">
        <w:rPr>
          <w:rFonts w:cs="Arial"/>
          <w:szCs w:val="22"/>
        </w:rPr>
        <w:t xml:space="preserve">, and there was </w:t>
      </w:r>
      <w:proofErr w:type="gramStart"/>
      <w:r w:rsidR="00A72A45">
        <w:rPr>
          <w:rFonts w:cs="Arial"/>
          <w:szCs w:val="22"/>
        </w:rPr>
        <w:t xml:space="preserve">a </w:t>
      </w:r>
      <w:r w:rsidRPr="00097593">
        <w:rPr>
          <w:rFonts w:cs="Arial"/>
          <w:szCs w:val="22"/>
        </w:rPr>
        <w:t xml:space="preserve"> continuing</w:t>
      </w:r>
      <w:proofErr w:type="gramEnd"/>
      <w:r w:rsidRPr="00097593">
        <w:rPr>
          <w:rFonts w:cs="Arial"/>
          <w:szCs w:val="22"/>
        </w:rPr>
        <w:t xml:space="preserve"> focus on online channels to better align with the information seeking behaviour of consumers and businesses</w:t>
      </w:r>
      <w:r w:rsidR="00455542">
        <w:rPr>
          <w:rFonts w:cs="Arial"/>
          <w:szCs w:val="22"/>
        </w:rPr>
        <w:t xml:space="preserve">. </w:t>
      </w:r>
    </w:p>
    <w:p w14:paraId="2B54BAFA" w14:textId="16A6A32B" w:rsidR="00EF0829" w:rsidRDefault="007C5B21" w:rsidP="007C5B21">
      <w:pPr>
        <w:rPr>
          <w:rFonts w:cs="Arial"/>
          <w:szCs w:val="22"/>
        </w:rPr>
      </w:pPr>
      <w:r w:rsidRPr="00097593">
        <w:rPr>
          <w:rFonts w:cs="Arial"/>
          <w:szCs w:val="22"/>
        </w:rPr>
        <w:t xml:space="preserve">Some of the key projects undertaken reflect </w:t>
      </w:r>
      <w:r w:rsidR="00A72A45">
        <w:rPr>
          <w:rFonts w:cs="Arial"/>
          <w:szCs w:val="22"/>
        </w:rPr>
        <w:t>a tailoring of approaches</w:t>
      </w:r>
      <w:r w:rsidRPr="00097593">
        <w:rPr>
          <w:rFonts w:cs="Arial"/>
          <w:szCs w:val="22"/>
        </w:rPr>
        <w:t xml:space="preserve"> for different audiences</w:t>
      </w:r>
      <w:r w:rsidR="00A72A45">
        <w:rPr>
          <w:rFonts w:cs="Arial"/>
          <w:szCs w:val="22"/>
        </w:rPr>
        <w:t xml:space="preserve"> and </w:t>
      </w:r>
      <w:r w:rsidRPr="00097593">
        <w:rPr>
          <w:rFonts w:cs="Arial"/>
          <w:szCs w:val="22"/>
        </w:rPr>
        <w:t xml:space="preserve">the use of social media (Facebook, Twitter, </w:t>
      </w:r>
      <w:proofErr w:type="gramStart"/>
      <w:r w:rsidRPr="00097593">
        <w:rPr>
          <w:rFonts w:cs="Arial"/>
          <w:szCs w:val="22"/>
        </w:rPr>
        <w:t>YouTube</w:t>
      </w:r>
      <w:proofErr w:type="gramEnd"/>
      <w:r w:rsidRPr="00097593">
        <w:rPr>
          <w:rFonts w:cs="Arial"/>
          <w:szCs w:val="22"/>
        </w:rPr>
        <w:t>) to engage with consumers and businesses is now a common component of education and information projects</w:t>
      </w:r>
      <w:r w:rsidR="00455542">
        <w:rPr>
          <w:rFonts w:cs="Arial"/>
          <w:szCs w:val="22"/>
        </w:rPr>
        <w:t xml:space="preserve">. </w:t>
      </w:r>
      <w:r w:rsidRPr="00097593">
        <w:rPr>
          <w:rFonts w:cs="Arial"/>
          <w:szCs w:val="22"/>
        </w:rPr>
        <w:t>For example, EIAC’s travelling conmen project consisted of a mix of activity including a dedicated Facebook page supported by Twitter activity, a national interactive map, as well as television, radio and print advertisements.</w:t>
      </w:r>
    </w:p>
    <w:p w14:paraId="2B54BAFB" w14:textId="77777777" w:rsidR="00EF0829" w:rsidRDefault="00EF0829">
      <w:pPr>
        <w:pStyle w:val="ChartGraphic"/>
      </w:pPr>
      <w:r>
        <w:object w:dxaOrig="11670" w:dyaOrig="15810" w14:anchorId="2B54BC36">
          <v:shape id="_x0000_i1026" type="#_x0000_t75" alt="A Facebook page was developed to support the 'Stop travelling conmen' campaign.  The Facebook page can be found at: www.facebook.com/stoptravellingconmen" style="width:314.25pt;height:187.5pt" o:ole="" o:allowoverlap="f">
            <v:imagedata r:id="rId46" o:title=""/>
          </v:shape>
          <o:OLEObject Type="Embed" ProgID="PBrush" ShapeID="_x0000_i1026" DrawAspect="Content" ObjectID="_1445348217" r:id="rId47"/>
        </w:object>
      </w:r>
    </w:p>
    <w:p w14:paraId="2B54BAFC" w14:textId="77777777" w:rsidR="00EF0829" w:rsidRDefault="00EF0829" w:rsidP="009C6840">
      <w:pPr>
        <w:pStyle w:val="ChartorTableNote"/>
        <w:jc w:val="center"/>
        <w:rPr>
          <w:rStyle w:val="Hyperlink"/>
          <w:sz w:val="20"/>
        </w:rPr>
      </w:pPr>
      <w:r>
        <w:t xml:space="preserve">Source: </w:t>
      </w:r>
      <w:hyperlink r:id="rId48" w:history="1">
        <w:r>
          <w:rPr>
            <w:rStyle w:val="Hyperlink"/>
          </w:rPr>
          <w:t>www.facebook.com/StopTravellingConMen</w:t>
        </w:r>
      </w:hyperlink>
    </w:p>
    <w:p w14:paraId="2B54BAFD" w14:textId="77777777" w:rsidR="00EF0829" w:rsidRDefault="00EF0829" w:rsidP="00CF34FE">
      <w:pPr>
        <w:pStyle w:val="SingleParagraph"/>
      </w:pPr>
    </w:p>
    <w:p w14:paraId="2B54BAFE" w14:textId="77777777" w:rsidR="00EF0829" w:rsidRDefault="00EF0829">
      <w:pPr>
        <w:pStyle w:val="ChartGraphic"/>
      </w:pPr>
      <w:r>
        <w:object w:dxaOrig="9390" w:dyaOrig="8895" w14:anchorId="2B54BC37">
          <v:shape id="_x0000_i1027" type="#_x0000_t75" alt="A website was developed to support the 'Stop travelling conmen' campaign.  The website can be found at: www.stoptravellingconmen.org" style="width:249.75pt;height:237pt" o:ole="" o:allowoverlap="f">
            <v:imagedata r:id="rId49" o:title=""/>
          </v:shape>
          <o:OLEObject Type="Embed" ProgID="PBrush" ShapeID="_x0000_i1027" DrawAspect="Content" ObjectID="_1445348218" r:id="rId50"/>
        </w:object>
      </w:r>
    </w:p>
    <w:p w14:paraId="2B54BAFF" w14:textId="77777777" w:rsidR="00F7105B" w:rsidRDefault="00EF0829" w:rsidP="009C6840">
      <w:pPr>
        <w:pStyle w:val="ChartorTableNote"/>
        <w:jc w:val="center"/>
      </w:pPr>
      <w:r w:rsidRPr="009C6840">
        <w:rPr>
          <w:rStyle w:val="Hyperlink"/>
        </w:rPr>
        <w:t xml:space="preserve">Source: </w:t>
      </w:r>
      <w:hyperlink r:id="rId51" w:history="1">
        <w:r>
          <w:rPr>
            <w:rStyle w:val="Hyperlink"/>
          </w:rPr>
          <w:t>www.stoptravellingconmen.org</w:t>
        </w:r>
      </w:hyperlink>
    </w:p>
    <w:p w14:paraId="2B54BB00" w14:textId="77777777" w:rsidR="00093EBE" w:rsidRDefault="00093EBE" w:rsidP="008B599D">
      <w:pPr>
        <w:sectPr w:rsidR="00093EBE" w:rsidSect="007D08F3">
          <w:pgSz w:w="11906" w:h="16838" w:code="9"/>
          <w:pgMar w:top="1418" w:right="1418" w:bottom="1418" w:left="1418" w:header="709" w:footer="709" w:gutter="0"/>
          <w:cols w:space="708"/>
          <w:titlePg/>
          <w:docGrid w:linePitch="360"/>
        </w:sectPr>
      </w:pPr>
    </w:p>
    <w:p w14:paraId="2B54BB01" w14:textId="77777777" w:rsidR="00912F54" w:rsidRDefault="00912F54" w:rsidP="00912F54">
      <w:pPr>
        <w:pStyle w:val="Heading1"/>
      </w:pPr>
      <w:bookmarkStart w:id="77" w:name="_Toc342381490"/>
      <w:bookmarkStart w:id="78" w:name="_Toc370468064"/>
      <w:r>
        <w:lastRenderedPageBreak/>
        <w:t>Compliance and dispute resolution</w:t>
      </w:r>
      <w:bookmarkEnd w:id="77"/>
      <w:bookmarkEnd w:id="78"/>
    </w:p>
    <w:tbl>
      <w:tblPr>
        <w:tblStyle w:val="TableGrid"/>
        <w:tblW w:w="0" w:type="auto"/>
        <w:tblLook w:val="04A0" w:firstRow="1" w:lastRow="0" w:firstColumn="1" w:lastColumn="0" w:noHBand="0" w:noVBand="1"/>
      </w:tblPr>
      <w:tblGrid>
        <w:gridCol w:w="9286"/>
      </w:tblGrid>
      <w:tr w:rsidR="00912F54" w14:paraId="2B54BB04" w14:textId="77777777" w:rsidTr="00912F54">
        <w:tc>
          <w:tcPr>
            <w:tcW w:w="9286" w:type="dxa"/>
          </w:tcPr>
          <w:p w14:paraId="2B54BB02" w14:textId="77777777" w:rsidR="00912F54" w:rsidRDefault="00912F54" w:rsidP="00CF34FE">
            <w:pPr>
              <w:pStyle w:val="BoxHeading"/>
            </w:pPr>
            <w:r w:rsidRPr="00912F54">
              <w:t>Summary</w:t>
            </w:r>
          </w:p>
          <w:p w14:paraId="2B54BB03" w14:textId="546264CB" w:rsidR="004A7811" w:rsidRPr="00094A6F" w:rsidRDefault="001958E2" w:rsidP="00CF34FE">
            <w:pPr>
              <w:pStyle w:val="BoxText"/>
            </w:pPr>
            <w:bookmarkStart w:id="79" w:name="_Toc370468065"/>
            <w:r w:rsidRPr="00094A6F">
              <w:t>In 2012</w:t>
            </w:r>
            <w:r w:rsidR="00455542">
              <w:noBreakHyphen/>
            </w:r>
            <w:r w:rsidRPr="00094A6F">
              <w:t>13</w:t>
            </w:r>
            <w:r w:rsidR="00B15F23" w:rsidRPr="00094A6F">
              <w:t xml:space="preserve">, </w:t>
            </w:r>
            <w:r w:rsidR="00B15F23">
              <w:t>consumer</w:t>
            </w:r>
            <w:r w:rsidR="00094A6F">
              <w:t xml:space="preserve"> agencies </w:t>
            </w:r>
            <w:r w:rsidR="00094A6F" w:rsidRPr="00D03AB8">
              <w:t>ha</w:t>
            </w:r>
            <w:r w:rsidR="00094A6F">
              <w:t>ve progressed work on a range of national projects and have</w:t>
            </w:r>
            <w:r w:rsidR="00094A6F" w:rsidRPr="00D03AB8">
              <w:t xml:space="preserve"> considered a </w:t>
            </w:r>
            <w:r w:rsidR="00094A6F">
              <w:t>number</w:t>
            </w:r>
            <w:r w:rsidR="00094A6F" w:rsidRPr="00D03AB8">
              <w:t xml:space="preserve"> of consumer protection challenges including in relation to extended warranties, food labelling, energy switching, </w:t>
            </w:r>
            <w:r w:rsidR="00F11A12">
              <w:t>I</w:t>
            </w:r>
            <w:r w:rsidR="00094A6F" w:rsidRPr="00D03AB8">
              <w:t xml:space="preserve">ndigenous consumer issues, travelling conmen, </w:t>
            </w:r>
            <w:proofErr w:type="gramStart"/>
            <w:r w:rsidR="00094A6F" w:rsidRPr="00D03AB8">
              <w:t>group</w:t>
            </w:r>
            <w:proofErr w:type="gramEnd"/>
            <w:r w:rsidR="00094A6F" w:rsidRPr="00D03AB8">
              <w:t xml:space="preserve"> buying and dispute resolution.</w:t>
            </w:r>
            <w:bookmarkEnd w:id="79"/>
          </w:p>
        </w:tc>
      </w:tr>
    </w:tbl>
    <w:p w14:paraId="2B54BB05" w14:textId="77777777" w:rsidR="008B599D" w:rsidRDefault="00912F54" w:rsidP="00912F54">
      <w:pPr>
        <w:pStyle w:val="Heading2"/>
      </w:pPr>
      <w:bookmarkStart w:id="80" w:name="_Toc367715269"/>
      <w:bookmarkStart w:id="81" w:name="_Toc370468066"/>
      <w:r>
        <w:t>Overview</w:t>
      </w:r>
      <w:bookmarkEnd w:id="80"/>
      <w:bookmarkEnd w:id="81"/>
    </w:p>
    <w:p w14:paraId="2B54BB06" w14:textId="77777777" w:rsidR="00FF4C01" w:rsidRDefault="00FF4C01" w:rsidP="00FF4C01">
      <w:r>
        <w:t>CDRAC has worked closely</w:t>
      </w:r>
      <w:r w:rsidR="002766C6">
        <w:t xml:space="preserve"> to</w:t>
      </w:r>
      <w:r>
        <w:t xml:space="preserve"> integrate compliance and enforcement operations</w:t>
      </w:r>
      <w:r w:rsidR="002766C6">
        <w:t xml:space="preserve"> and has </w:t>
      </w:r>
      <w:r w:rsidRPr="000102E0">
        <w:t xml:space="preserve">supported CAANZ through its role in </w:t>
      </w:r>
      <w:r>
        <w:t xml:space="preserve">coordinating </w:t>
      </w:r>
      <w:r w:rsidR="002766C6">
        <w:t>compliance and e</w:t>
      </w:r>
      <w:r>
        <w:t>nforcement</w:t>
      </w:r>
      <w:r w:rsidR="002766C6">
        <w:t xml:space="preserve"> </w:t>
      </w:r>
      <w:r>
        <w:t>action. CDRAC has supported consumers by delivering efficient and effective redress in response to emerging national consumer issues.</w:t>
      </w:r>
    </w:p>
    <w:p w14:paraId="2B54BB07" w14:textId="77777777" w:rsidR="00C94F24" w:rsidRDefault="00C94F24" w:rsidP="00E25E9F">
      <w:pPr>
        <w:pStyle w:val="Heading3"/>
      </w:pPr>
      <w:bookmarkStart w:id="82" w:name="_Toc370468067"/>
      <w:r>
        <w:t xml:space="preserve">Closer integration of </w:t>
      </w:r>
      <w:r w:rsidR="00E25E9F">
        <w:t>compliance</w:t>
      </w:r>
      <w:r w:rsidR="005A1253">
        <w:t xml:space="preserve"> and enforcement</w:t>
      </w:r>
      <w:r w:rsidR="00E25E9F">
        <w:t xml:space="preserve"> operations</w:t>
      </w:r>
      <w:bookmarkEnd w:id="82"/>
    </w:p>
    <w:p w14:paraId="2B54BB08" w14:textId="3833B447" w:rsidR="005C2728" w:rsidRDefault="005C2728" w:rsidP="005C2728">
      <w:r>
        <w:t>As a result of a CDRAC face to face meeting a number of work programs were developed with a view of increasing the effectiveness of CD</w:t>
      </w:r>
      <w:r w:rsidR="00321877">
        <w:t xml:space="preserve">RAC and to assist in achieving </w:t>
      </w:r>
      <w:r>
        <w:t>CAF</w:t>
      </w:r>
      <w:r w:rsidR="00321877">
        <w:t>’s</w:t>
      </w:r>
      <w:r>
        <w:t xml:space="preserve"> strategic objectives</w:t>
      </w:r>
      <w:r w:rsidR="00455542">
        <w:t xml:space="preserve">. </w:t>
      </w:r>
      <w:r>
        <w:t>As a result of close working relat</w:t>
      </w:r>
      <w:r w:rsidR="0030209A">
        <w:t>ionships among</w:t>
      </w:r>
      <w:r w:rsidR="003C69B6">
        <w:t xml:space="preserve"> ACL regulators</w:t>
      </w:r>
      <w:r w:rsidR="0030209A">
        <w:t>:</w:t>
      </w:r>
    </w:p>
    <w:p w14:paraId="2B54BB09" w14:textId="77777777" w:rsidR="005C2728" w:rsidRDefault="0030209A" w:rsidP="00A60647">
      <w:pPr>
        <w:pStyle w:val="Bullet"/>
      </w:pPr>
      <w:r>
        <w:t>closer engagement between policy, compliance and education operations has been</w:t>
      </w:r>
      <w:r w:rsidR="005C2728">
        <w:t xml:space="preserve"> </w:t>
      </w:r>
      <w:r>
        <w:t xml:space="preserve">facilitated </w:t>
      </w:r>
      <w:r w:rsidR="005C2728">
        <w:t>through a communications protocol;</w:t>
      </w:r>
    </w:p>
    <w:p w14:paraId="2B54BB0A" w14:textId="77777777" w:rsidR="005C2728" w:rsidRDefault="005C2728" w:rsidP="00A60647">
      <w:pPr>
        <w:pStyle w:val="Bullet"/>
      </w:pPr>
      <w:r>
        <w:t>senior leaders are committed to a greater level of collaboration, including more face to face planning days;</w:t>
      </w:r>
    </w:p>
    <w:p w14:paraId="2B54BB0B" w14:textId="77777777" w:rsidR="005C2728" w:rsidRDefault="005C2728" w:rsidP="00A60647">
      <w:pPr>
        <w:pStyle w:val="Bullet"/>
      </w:pPr>
      <w:r>
        <w:t>a review of the Compliance and Enforcement Protocol was conducted;</w:t>
      </w:r>
    </w:p>
    <w:p w14:paraId="2B54BB0C" w14:textId="77777777" w:rsidR="005C2728" w:rsidRDefault="005C2728" w:rsidP="00A60647">
      <w:pPr>
        <w:pStyle w:val="Bullet"/>
      </w:pPr>
      <w:r>
        <w:t xml:space="preserve">a crisis management protocol including a message bank of consistent </w:t>
      </w:r>
      <w:r w:rsidR="003B0169">
        <w:t xml:space="preserve">and </w:t>
      </w:r>
      <w:r>
        <w:t>agreed messages</w:t>
      </w:r>
      <w:r w:rsidR="003B0169">
        <w:t xml:space="preserve"> was developed</w:t>
      </w:r>
      <w:r>
        <w:t xml:space="preserve"> (awaiting final approval);</w:t>
      </w:r>
    </w:p>
    <w:p w14:paraId="2B54BB0D" w14:textId="77777777" w:rsidR="005C2728" w:rsidRDefault="005C2728" w:rsidP="00A60647">
      <w:pPr>
        <w:pStyle w:val="Bullet"/>
      </w:pPr>
      <w:r>
        <w:t>an agreed process for engagement with administrators</w:t>
      </w:r>
      <w:r w:rsidR="003B0169">
        <w:t xml:space="preserve"> was developed</w:t>
      </w:r>
      <w:r>
        <w:t>;</w:t>
      </w:r>
    </w:p>
    <w:p w14:paraId="2B54BB0E" w14:textId="6980E664" w:rsidR="005C2728" w:rsidRDefault="003B0169" w:rsidP="00A60647">
      <w:pPr>
        <w:pStyle w:val="Bullet"/>
      </w:pPr>
      <w:r>
        <w:t xml:space="preserve">possible </w:t>
      </w:r>
      <w:r w:rsidR="005C2728">
        <w:t>solutions for state</w:t>
      </w:r>
      <w:r w:rsidR="00455542">
        <w:noBreakHyphen/>
      </w:r>
      <w:r w:rsidR="005C2728">
        <w:t xml:space="preserve">based regulators undertaking national compliance and enforcement </w:t>
      </w:r>
      <w:r w:rsidR="00321877">
        <w:t xml:space="preserve">activities </w:t>
      </w:r>
      <w:r>
        <w:t>were identified</w:t>
      </w:r>
      <w:r w:rsidR="005C2728">
        <w:t>;</w:t>
      </w:r>
    </w:p>
    <w:p w14:paraId="2B54BB0F" w14:textId="77777777" w:rsidR="005C2728" w:rsidRDefault="001D16FC" w:rsidP="00A60647">
      <w:pPr>
        <w:pStyle w:val="Bullet"/>
      </w:pPr>
      <w:r>
        <w:t>complaint handling language and standard definitions</w:t>
      </w:r>
      <w:r w:rsidR="003B0169">
        <w:t xml:space="preserve"> were developed</w:t>
      </w:r>
      <w:r w:rsidR="005C2728">
        <w:t>; and</w:t>
      </w:r>
    </w:p>
    <w:p w14:paraId="2B54BB10" w14:textId="77777777" w:rsidR="005C2728" w:rsidRDefault="005C2728" w:rsidP="00A60647">
      <w:pPr>
        <w:pStyle w:val="Bullet"/>
      </w:pPr>
      <w:proofErr w:type="gramStart"/>
      <w:r>
        <w:t>a</w:t>
      </w:r>
      <w:proofErr w:type="gramEnd"/>
      <w:r>
        <w:t xml:space="preserve"> review of a trader intervention process to engage traders where conduct is causing, or likely to cause, consumer dissatisfaction or detriment</w:t>
      </w:r>
      <w:r w:rsidR="003B0169">
        <w:t xml:space="preserve"> was commenced</w:t>
      </w:r>
      <w:r>
        <w:t>.</w:t>
      </w:r>
    </w:p>
    <w:p w14:paraId="2B54BB11" w14:textId="6B405979" w:rsidR="00795497" w:rsidRDefault="00DE3A0B" w:rsidP="00DE3A0B">
      <w:r w:rsidRPr="00DE3A0B">
        <w:t>In keeping with the ‘One Law</w:t>
      </w:r>
      <w:r w:rsidR="00455542">
        <w:t xml:space="preserve"> — </w:t>
      </w:r>
      <w:r w:rsidRPr="00DE3A0B">
        <w:t>Multiple Regulator’ model of the ACL, CDRAC has identified a number of discrete national projects to identify and redress instances of market failure</w:t>
      </w:r>
      <w:r w:rsidR="00455542">
        <w:t xml:space="preserve">. </w:t>
      </w:r>
      <w:r w:rsidRPr="00DE3A0B">
        <w:t xml:space="preserve">Typically, matters for consideration are raised by one or more jurisdictions at monthly teleconferences, having been identified from complaints, inquiries and other information received. A lead agency is then assigned to intervene in the matter on behalf of </w:t>
      </w:r>
      <w:r w:rsidRPr="00DE3A0B">
        <w:lastRenderedPageBreak/>
        <w:t xml:space="preserve">all jurisdictions, with a central contact point established to disseminate information and act upon complaints from consumers across Australia. </w:t>
      </w:r>
    </w:p>
    <w:p w14:paraId="2B54BB12" w14:textId="34494581" w:rsidR="00DE3A0B" w:rsidRDefault="00DE3A0B" w:rsidP="00DE3A0B">
      <w:r w:rsidRPr="00DE3A0B">
        <w:t>Alternatively, if a trading concern arises from similar data but is identified as an industry</w:t>
      </w:r>
      <w:r w:rsidR="00455542">
        <w:noBreakHyphen/>
      </w:r>
      <w:r w:rsidRPr="00DE3A0B">
        <w:t>wide problem, a national project may be launched and managed according to the formal CDRAC protocols. A lead agency and other supporting jurisdictions will be engaged to participate and report to the committee</w:t>
      </w:r>
      <w:r w:rsidR="00455542">
        <w:t xml:space="preserve">. </w:t>
      </w:r>
      <w:r w:rsidRPr="00DE3A0B">
        <w:t>These approaches are integral to achieving nationally consistent outcomes for all affected consumers.</w:t>
      </w:r>
    </w:p>
    <w:p w14:paraId="2B54BB13" w14:textId="5B056681" w:rsidR="00A15BB1" w:rsidRDefault="00795497" w:rsidP="00E12396">
      <w:r>
        <w:t>In addition, d</w:t>
      </w:r>
      <w:r w:rsidR="00A15BB1" w:rsidRPr="007F0746">
        <w:t xml:space="preserve">uring December </w:t>
      </w:r>
      <w:r w:rsidR="00396E48" w:rsidRPr="007F0746">
        <w:t>2012, representatives from all jurisdictions</w:t>
      </w:r>
      <w:r w:rsidR="00A15BB1" w:rsidRPr="007F0746">
        <w:t xml:space="preserve"> combined efforts towards a national complaint reporting and resolution program. The group </w:t>
      </w:r>
      <w:r w:rsidR="00396E48" w:rsidRPr="007F0746">
        <w:t>worked to develop national processes to improve use of intelligence and to coordinate cross</w:t>
      </w:r>
      <w:r w:rsidR="00455542">
        <w:noBreakHyphen/>
      </w:r>
      <w:r w:rsidR="00396E48" w:rsidRPr="007F0746">
        <w:t>jurisdictional</w:t>
      </w:r>
      <w:r w:rsidR="00A15BB1" w:rsidRPr="007F0746">
        <w:t xml:space="preserve"> complaints</w:t>
      </w:r>
      <w:r w:rsidR="00455542">
        <w:t xml:space="preserve">. </w:t>
      </w:r>
      <w:r w:rsidR="00A15BB1" w:rsidRPr="007F0746">
        <w:t xml:space="preserve">Information received by all </w:t>
      </w:r>
      <w:r w:rsidR="00396E48" w:rsidRPr="007F0746">
        <w:t>jurisdictions</w:t>
      </w:r>
      <w:r w:rsidR="00A15BB1" w:rsidRPr="007F0746">
        <w:t xml:space="preserve"> contribu</w:t>
      </w:r>
      <w:r w:rsidR="00A8077A" w:rsidRPr="007F0746">
        <w:t xml:space="preserve">ted to a ‘top 50 trader list’ to support the identification of </w:t>
      </w:r>
      <w:r w:rsidR="00A15BB1" w:rsidRPr="007F0746">
        <w:t>traders</w:t>
      </w:r>
      <w:r w:rsidR="00A8077A" w:rsidRPr="007F0746">
        <w:t xml:space="preserve"> that presented issues across</w:t>
      </w:r>
      <w:r w:rsidR="00A15BB1" w:rsidRPr="007F0746">
        <w:t xml:space="preserve"> jurisdict</w:t>
      </w:r>
      <w:r w:rsidR="00A8077A" w:rsidRPr="007F0746">
        <w:t>ions</w:t>
      </w:r>
      <w:r w:rsidR="00455542">
        <w:t xml:space="preserve">. </w:t>
      </w:r>
      <w:r w:rsidR="00A8077A" w:rsidRPr="007F0746">
        <w:t>Other matters that were considered</w:t>
      </w:r>
      <w:r w:rsidR="00A15BB1" w:rsidRPr="007F0746">
        <w:t xml:space="preserve"> included how each state and territory managed a complaint, what constituted a complaint to be registered, and what solutions could be universally </w:t>
      </w:r>
      <w:proofErr w:type="gramStart"/>
      <w:r w:rsidR="00A15BB1" w:rsidRPr="007F0746">
        <w:t>adopted</w:t>
      </w:r>
      <w:proofErr w:type="gramEnd"/>
      <w:r w:rsidR="00A15BB1" w:rsidRPr="007F0746">
        <w:t xml:space="preserve"> to best resolve the complaint</w:t>
      </w:r>
      <w:r w:rsidR="00455542">
        <w:t xml:space="preserve">. </w:t>
      </w:r>
      <w:r w:rsidR="00A15BB1" w:rsidRPr="007F0746">
        <w:t>Efforts are now under way to create a coordinated national approach.</w:t>
      </w:r>
    </w:p>
    <w:p w14:paraId="2B54BB14" w14:textId="206DD9A8" w:rsidR="003F4231" w:rsidRPr="00A60647" w:rsidRDefault="004659A8" w:rsidP="00A60647">
      <w:r>
        <w:t xml:space="preserve">CDRAC also </w:t>
      </w:r>
      <w:proofErr w:type="gramStart"/>
      <w:r>
        <w:t>progressed</w:t>
      </w:r>
      <w:proofErr w:type="gramEnd"/>
      <w:r>
        <w:t xml:space="preserve"> work on its</w:t>
      </w:r>
      <w:r w:rsidR="00CB09E9">
        <w:t xml:space="preserve"> national dispute r</w:t>
      </w:r>
      <w:r w:rsidR="00CB09E9" w:rsidRPr="00BA385A">
        <w:t xml:space="preserve">esolution </w:t>
      </w:r>
      <w:r w:rsidR="00CB09E9">
        <w:t>project</w:t>
      </w:r>
      <w:r w:rsidR="00795497">
        <w:t>,</w:t>
      </w:r>
      <w:r>
        <w:t xml:space="preserve"> which</w:t>
      </w:r>
      <w:r w:rsidR="00CB09E9" w:rsidRPr="00BA385A">
        <w:t xml:space="preserve"> aims to facilitate the exchange </w:t>
      </w:r>
      <w:r w:rsidR="00120242">
        <w:t xml:space="preserve">of </w:t>
      </w:r>
      <w:r w:rsidR="00CB09E9" w:rsidRPr="00BA385A">
        <w:t>information to assist in</w:t>
      </w:r>
      <w:r w:rsidR="00120242">
        <w:t xml:space="preserve"> the</w:t>
      </w:r>
      <w:r w:rsidR="00CB09E9" w:rsidRPr="00BA385A">
        <w:t xml:space="preserve"> resolution of disputes nationally. A set of definitions has been developed </w:t>
      </w:r>
      <w:r w:rsidR="00120242">
        <w:t>and reporting will occur</w:t>
      </w:r>
      <w:r w:rsidR="00CB09E9" w:rsidRPr="00BA385A">
        <w:t xml:space="preserve"> on a qu</w:t>
      </w:r>
      <w:r>
        <w:t>arterly basis</w:t>
      </w:r>
      <w:r w:rsidR="00455542">
        <w:t xml:space="preserve">. </w:t>
      </w:r>
      <w:r w:rsidR="002D1076">
        <w:t>This work will build on the existing information sharing architecture</w:t>
      </w:r>
      <w:r w:rsidR="00795497">
        <w:t>,</w:t>
      </w:r>
      <w:r w:rsidR="002D1076">
        <w:t xml:space="preserve"> including </w:t>
      </w:r>
      <w:proofErr w:type="spellStart"/>
      <w:r w:rsidR="002D1076">
        <w:t>ACLink</w:t>
      </w:r>
      <w:proofErr w:type="spellEnd"/>
      <w:r w:rsidR="00795497">
        <w:t>,</w:t>
      </w:r>
      <w:r w:rsidR="002D1076">
        <w:t xml:space="preserve"> which provides consumer agencies with a means to communicate on compliance and enforcement issues </w:t>
      </w:r>
      <w:r w:rsidR="00795497">
        <w:t>and</w:t>
      </w:r>
      <w:r w:rsidR="002D1076">
        <w:t xml:space="preserve"> alert</w:t>
      </w:r>
      <w:r w:rsidR="00795497">
        <w:t>s</w:t>
      </w:r>
      <w:r w:rsidR="002D1076">
        <w:t xml:space="preserve"> members to emerging issues and complaints of interest. </w:t>
      </w:r>
    </w:p>
    <w:p w14:paraId="2B54BB15" w14:textId="77777777" w:rsidR="00F33AF4" w:rsidRDefault="004712A4" w:rsidP="00F33AF4">
      <w:pPr>
        <w:pStyle w:val="Heading3"/>
      </w:pPr>
      <w:bookmarkStart w:id="83" w:name="_Toc370468068"/>
      <w:r>
        <w:t>Achieving compliance with the ACL</w:t>
      </w:r>
      <w:bookmarkEnd w:id="83"/>
      <w:r>
        <w:t xml:space="preserve"> </w:t>
      </w:r>
    </w:p>
    <w:p w14:paraId="2B54BB16" w14:textId="4BE6C3AA" w:rsidR="00FD2DED" w:rsidRDefault="00FD2DED" w:rsidP="00F33AF4">
      <w:r>
        <w:t>In 2012</w:t>
      </w:r>
      <w:r w:rsidR="00455542">
        <w:noBreakHyphen/>
      </w:r>
      <w:r>
        <w:t>13, c</w:t>
      </w:r>
      <w:r w:rsidR="00F33AF4">
        <w:t>onsumer agencies relied on the broad range of</w:t>
      </w:r>
      <w:r>
        <w:t xml:space="preserve"> powers provided under the ACL</w:t>
      </w:r>
      <w:r w:rsidR="007732E8">
        <w:t xml:space="preserve"> (including</w:t>
      </w:r>
      <w:r>
        <w:t xml:space="preserve"> </w:t>
      </w:r>
      <w:r w:rsidR="007732E8">
        <w:t>disqualification orders from managing corporations)</w:t>
      </w:r>
      <w:r>
        <w:t xml:space="preserve"> to protect the community from </w:t>
      </w:r>
      <w:r w:rsidR="002C1232">
        <w:t>malfeasant trader behaviour</w:t>
      </w:r>
      <w:r>
        <w:t xml:space="preserve"> (see Case study </w:t>
      </w:r>
      <w:r w:rsidR="00C21AC8">
        <w:t>8</w:t>
      </w:r>
      <w:r w:rsidR="00F33AF4">
        <w:t>)</w:t>
      </w:r>
      <w:r w:rsidR="00455542">
        <w:t xml:space="preserve">. </w:t>
      </w:r>
    </w:p>
    <w:p w14:paraId="2B54BB17" w14:textId="304E8BCE" w:rsidR="006E03C1" w:rsidRDefault="00FD2DED" w:rsidP="00F33AF4">
      <w:r>
        <w:t>CDRAC also considered a range of consumer protection challenges, including the continuation of the n</w:t>
      </w:r>
      <w:r w:rsidRPr="00B57D40">
        <w:t xml:space="preserve">ational </w:t>
      </w:r>
      <w:r>
        <w:t>p</w:t>
      </w:r>
      <w:r w:rsidRPr="00B57D40">
        <w:t xml:space="preserve">roject on </w:t>
      </w:r>
      <w:r>
        <w:t>e</w:t>
      </w:r>
      <w:r w:rsidRPr="00B57D40">
        <w:t xml:space="preserve">xtended </w:t>
      </w:r>
      <w:r>
        <w:t>w</w:t>
      </w:r>
      <w:r w:rsidRPr="00B57D40">
        <w:t>arranties</w:t>
      </w:r>
      <w:r w:rsidR="00455542">
        <w:t xml:space="preserve">. </w:t>
      </w:r>
      <w:r w:rsidR="001958E2" w:rsidRPr="00B57D40">
        <w:t>Th</w:t>
      </w:r>
      <w:r w:rsidR="00F33AF4">
        <w:t>e extended warranties project</w:t>
      </w:r>
      <w:r w:rsidR="00FB7C75">
        <w:t xml:space="preserve"> focused</w:t>
      </w:r>
      <w:r w:rsidR="001958E2" w:rsidRPr="00B57D40">
        <w:t xml:space="preserve"> on both communication and enforcement</w:t>
      </w:r>
      <w:r w:rsidR="00FB7C75">
        <w:t xml:space="preserve"> and </w:t>
      </w:r>
      <w:r w:rsidR="001958E2" w:rsidRPr="00B57D40">
        <w:t xml:space="preserve">identified a range of </w:t>
      </w:r>
      <w:r w:rsidR="00FB7C75">
        <w:t>businesse</w:t>
      </w:r>
      <w:r w:rsidR="001958E2" w:rsidRPr="00B57D40">
        <w:t>s that provide extended warranties</w:t>
      </w:r>
      <w:r w:rsidR="00FB7C75">
        <w:t xml:space="preserve"> that are of concern</w:t>
      </w:r>
      <w:r w:rsidR="006D3712">
        <w:t xml:space="preserve"> </w:t>
      </w:r>
      <w:r w:rsidR="007746DB">
        <w:t xml:space="preserve">(see Case study </w:t>
      </w:r>
      <w:r w:rsidR="00C21AC8">
        <w:t>9</w:t>
      </w:r>
      <w:r w:rsidR="00272D2D">
        <w:t>)</w:t>
      </w:r>
      <w:r w:rsidR="00804253">
        <w:t>.</w:t>
      </w:r>
    </w:p>
    <w:p w14:paraId="2B54BB18" w14:textId="1AE9B84E" w:rsidR="0069192C" w:rsidRDefault="0069192C" w:rsidP="00CF34FE">
      <w:r>
        <w:t xml:space="preserve">CDRAC has progressed work on its national project on </w:t>
      </w:r>
      <w:r w:rsidR="00F11A12">
        <w:t>I</w:t>
      </w:r>
      <w:r>
        <w:t>ndigenous consumer issues</w:t>
      </w:r>
      <w:r w:rsidR="00F11A12">
        <w:t>,</w:t>
      </w:r>
      <w:r>
        <w:t xml:space="preserve"> with</w:t>
      </w:r>
      <w:r w:rsidRPr="00732F81">
        <w:t xml:space="preserve"> a </w:t>
      </w:r>
      <w:r>
        <w:t>coordinated</w:t>
      </w:r>
      <w:r w:rsidRPr="00732F81">
        <w:t xml:space="preserve"> regulatory and communications approach </w:t>
      </w:r>
      <w:r w:rsidR="00F11A12">
        <w:t>aimed at</w:t>
      </w:r>
      <w:r w:rsidRPr="00732F81">
        <w:t xml:space="preserve"> encourag</w:t>
      </w:r>
      <w:r w:rsidR="00F11A12">
        <w:t>ing</w:t>
      </w:r>
      <w:r w:rsidRPr="00732F81">
        <w:t xml:space="preserve"> compliance with the ACL and rais</w:t>
      </w:r>
      <w:r w:rsidR="00F11A12">
        <w:t>ing</w:t>
      </w:r>
      <w:r w:rsidRPr="00732F81">
        <w:t xml:space="preserve"> awareness of assistance that can be provided by consumer agencies</w:t>
      </w:r>
      <w:r w:rsidR="00455542">
        <w:t xml:space="preserve">. </w:t>
      </w:r>
      <w:r w:rsidRPr="00732F81">
        <w:t>Between December 2012 and January 2013</w:t>
      </w:r>
      <w:r>
        <w:t xml:space="preserve"> businesses in</w:t>
      </w:r>
      <w:r w:rsidRPr="00732F81">
        <w:t xml:space="preserve"> </w:t>
      </w:r>
      <w:r>
        <w:t>twenty remote communities were examined</w:t>
      </w:r>
      <w:r w:rsidR="00455542">
        <w:t xml:space="preserve">. </w:t>
      </w:r>
      <w:r w:rsidR="00F11A12">
        <w:t>F</w:t>
      </w:r>
      <w:r w:rsidRPr="00732F81">
        <w:t>our traders</w:t>
      </w:r>
      <w:r w:rsidR="00DE3A0B">
        <w:t xml:space="preserve"> </w:t>
      </w:r>
      <w:r w:rsidR="00F11A12">
        <w:t xml:space="preserve">were </w:t>
      </w:r>
      <w:r w:rsidR="00DE3A0B">
        <w:t>referred for</w:t>
      </w:r>
      <w:r w:rsidRPr="00732F81">
        <w:t xml:space="preserve"> in</w:t>
      </w:r>
      <w:r>
        <w:t>vestigat</w:t>
      </w:r>
      <w:r w:rsidR="00DE3A0B">
        <w:t>ion</w:t>
      </w:r>
      <w:r>
        <w:t xml:space="preserve"> including</w:t>
      </w:r>
      <w:r w:rsidRPr="00732F81">
        <w:t xml:space="preserve"> </w:t>
      </w:r>
      <w:proofErr w:type="spellStart"/>
      <w:r w:rsidRPr="00732F81">
        <w:t>Zamm</w:t>
      </w:r>
      <w:proofErr w:type="spellEnd"/>
      <w:r w:rsidRPr="00732F81">
        <w:t xml:space="preserve"> Rentals, Tiny Tots photography, Awesome Water and Expression Sessions photography.</w:t>
      </w:r>
    </w:p>
    <w:p w14:paraId="2B54BB19" w14:textId="08CB63F6" w:rsidR="00C71D7B" w:rsidRDefault="0069192C" w:rsidP="00CF34FE">
      <w:r>
        <w:t>CDRAC also continued its work on existing national projects including in relation to tra</w:t>
      </w:r>
      <w:r w:rsidR="007746DB">
        <w:t xml:space="preserve">velling conmen (see Case study </w:t>
      </w:r>
      <w:r w:rsidR="00C21AC8">
        <w:t>10</w:t>
      </w:r>
      <w:r>
        <w:t>) and group buying</w:t>
      </w:r>
      <w:r w:rsidR="00455542">
        <w:t xml:space="preserve">. </w:t>
      </w:r>
      <w:r>
        <w:t xml:space="preserve">CDRAC also considered issues relating to energy switching </w:t>
      </w:r>
      <w:r w:rsidR="00F11A12">
        <w:t>(</w:t>
      </w:r>
      <w:r>
        <w:t>in light of the ACCC’s cases against Energy Watch</w:t>
      </w:r>
      <w:r w:rsidR="00F11A12">
        <w:t>)</w:t>
      </w:r>
      <w:r>
        <w:t xml:space="preserve"> and positive changes to other traders’ behaviour.</w:t>
      </w:r>
    </w:p>
    <w:p w14:paraId="2B54BB1A" w14:textId="77777777" w:rsidR="00C71D7B" w:rsidRDefault="00C71D7B">
      <w:pPr>
        <w:spacing w:after="0" w:line="240" w:lineRule="auto"/>
      </w:pPr>
      <w:r>
        <w:br w:type="page"/>
      </w:r>
    </w:p>
    <w:tbl>
      <w:tblPr>
        <w:tblStyle w:val="TableGrid"/>
        <w:tblW w:w="0" w:type="auto"/>
        <w:tblLook w:val="04A0" w:firstRow="1" w:lastRow="0" w:firstColumn="1" w:lastColumn="0" w:noHBand="0" w:noVBand="1"/>
      </w:tblPr>
      <w:tblGrid>
        <w:gridCol w:w="9286"/>
      </w:tblGrid>
      <w:tr w:rsidR="00F33AF4" w14:paraId="2B54BB20" w14:textId="77777777" w:rsidTr="00F33AF4">
        <w:tc>
          <w:tcPr>
            <w:tcW w:w="9286" w:type="dxa"/>
          </w:tcPr>
          <w:p w14:paraId="2B54BB1B" w14:textId="77777777" w:rsidR="00F33AF4" w:rsidRDefault="00F33AF4" w:rsidP="00CF34FE">
            <w:pPr>
              <w:pStyle w:val="BoxHeading"/>
            </w:pPr>
            <w:r>
              <w:lastRenderedPageBreak/>
              <w:t xml:space="preserve">Case study </w:t>
            </w:r>
            <w:r w:rsidR="00C21AC8">
              <w:t>8</w:t>
            </w:r>
            <w:r>
              <w:t xml:space="preserve"> — </w:t>
            </w:r>
            <w:r w:rsidR="00D6441E">
              <w:t>Disqualification orders under the ACL</w:t>
            </w:r>
          </w:p>
          <w:p w14:paraId="2B54BB1C" w14:textId="44FCF3A4" w:rsidR="00F33AF4" w:rsidRDefault="00F33AF4" w:rsidP="00CF34FE">
            <w:pPr>
              <w:pStyle w:val="BoxText"/>
            </w:pPr>
            <w:r>
              <w:t>The Director of C</w:t>
            </w:r>
            <w:r w:rsidR="002371E4">
              <w:t xml:space="preserve">onsumer </w:t>
            </w:r>
            <w:r>
              <w:t>A</w:t>
            </w:r>
            <w:r w:rsidR="002371E4">
              <w:t xml:space="preserve">ffairs </w:t>
            </w:r>
            <w:r>
              <w:t>V</w:t>
            </w:r>
            <w:r w:rsidR="002371E4">
              <w:t>ictoria</w:t>
            </w:r>
            <w:r>
              <w:t xml:space="preserve"> has undertaken two recent civil proceedings under section 36 of the ACL resulting in the first use of the ACL</w:t>
            </w:r>
            <w:r w:rsidR="0040344D">
              <w:t>,</w:t>
            </w:r>
            <w:r w:rsidR="002C021E">
              <w:t xml:space="preserve"> by a state or territory regulator</w:t>
            </w:r>
            <w:r w:rsidR="0040344D">
              <w:t>,</w:t>
            </w:r>
            <w:r>
              <w:t xml:space="preserve"> to persuade a court to disbar a person from being a director of the company the subject of the proceedings, as well as from being a director of any other company</w:t>
            </w:r>
            <w:r w:rsidR="00455542">
              <w:t xml:space="preserve">. </w:t>
            </w:r>
            <w:r>
              <w:t>The disbarments are for periods of 5 and 15 years respectively.</w:t>
            </w:r>
          </w:p>
          <w:p w14:paraId="2B54BB1D" w14:textId="3B80CE94" w:rsidR="00F33AF4" w:rsidRDefault="00F33AF4" w:rsidP="00CF34FE">
            <w:pPr>
              <w:pStyle w:val="BoxText"/>
              <w:rPr>
                <w:i/>
              </w:rPr>
            </w:pPr>
            <w:r>
              <w:t xml:space="preserve">In the first, in December 2012, the Melbourne Magistrates’ Court disqualified Mr Mehmet </w:t>
            </w:r>
            <w:proofErr w:type="spellStart"/>
            <w:r>
              <w:t>Mehmet</w:t>
            </w:r>
            <w:proofErr w:type="spellEnd"/>
            <w:r>
              <w:t xml:space="preserve"> from being the director of a company until 2017 and ordered Mr Mehmet, </w:t>
            </w:r>
            <w:proofErr w:type="spellStart"/>
            <w:r>
              <w:t>Architeck</w:t>
            </w:r>
            <w:proofErr w:type="spellEnd"/>
            <w:r>
              <w:t xml:space="preserve"> Homes Pty Ltd and </w:t>
            </w:r>
            <w:proofErr w:type="spellStart"/>
            <w:r>
              <w:t>Unibase</w:t>
            </w:r>
            <w:proofErr w:type="spellEnd"/>
            <w:r>
              <w:t xml:space="preserve"> Homes Pty Ltd to pay $14,300 costs</w:t>
            </w:r>
            <w:r w:rsidR="00455542">
              <w:t xml:space="preserve">. </w:t>
            </w:r>
            <w:r>
              <w:t xml:space="preserve">Final injunctions were granted against the companies for accepting payments from nine customers then failing to build their homes within the required time under the contracts. Mr Mehmet, </w:t>
            </w:r>
            <w:proofErr w:type="spellStart"/>
            <w:r>
              <w:t>Architeck</w:t>
            </w:r>
            <w:proofErr w:type="spellEnd"/>
            <w:r>
              <w:t xml:space="preserve"> Homes Pty Ltd and </w:t>
            </w:r>
            <w:proofErr w:type="spellStart"/>
            <w:r>
              <w:t>Unibase</w:t>
            </w:r>
            <w:proofErr w:type="spellEnd"/>
            <w:r>
              <w:t xml:space="preserve"> Homes Pty Ltd were found to have breached the</w:t>
            </w:r>
            <w:r w:rsidR="00D6441E">
              <w:t xml:space="preserve"> ACL</w:t>
            </w:r>
            <w:r>
              <w:t xml:space="preserve">, </w:t>
            </w:r>
            <w:r>
              <w:rPr>
                <w:i/>
              </w:rPr>
              <w:t xml:space="preserve">Domestic Building Contracts Act 1995 </w:t>
            </w:r>
            <w:r>
              <w:t xml:space="preserve">and the </w:t>
            </w:r>
            <w:r>
              <w:rPr>
                <w:i/>
              </w:rPr>
              <w:t>Fair Trading Act 1999.</w:t>
            </w:r>
          </w:p>
          <w:p w14:paraId="2B54BB1E" w14:textId="77777777" w:rsidR="00F33AF4" w:rsidRDefault="00F33AF4" w:rsidP="00CF34FE">
            <w:pPr>
              <w:pStyle w:val="BoxText"/>
            </w:pPr>
            <w:r>
              <w:t xml:space="preserve">The second, against Victorian rent roll business Connection Blue Pty Ltd and its sole director Mark </w:t>
            </w:r>
            <w:proofErr w:type="spellStart"/>
            <w:r>
              <w:t>Whittingham</w:t>
            </w:r>
            <w:proofErr w:type="spellEnd"/>
            <w:r>
              <w:t xml:space="preserve">, was for accepting deposits of almost $300,000 but failing to provide promised products and refunds. In June 2013, the Magistrates’ Court ordered that the defendants transfer the sum of $198,331.57 to CAV for the benefit of four persons who </w:t>
            </w:r>
            <w:r>
              <w:rPr>
                <w:bCs/>
              </w:rPr>
              <w:t>had paid such deposits but where Connection Blue had failed to supply</w:t>
            </w:r>
            <w:r>
              <w:t xml:space="preserve"> </w:t>
            </w:r>
            <w:r>
              <w:rPr>
                <w:bCs/>
              </w:rPr>
              <w:t>the rent rolls and had not returned the deposits.</w:t>
            </w:r>
          </w:p>
          <w:p w14:paraId="2B54BB1F" w14:textId="77777777" w:rsidR="00F33AF4" w:rsidRDefault="00F33AF4" w:rsidP="00CF34FE">
            <w:pPr>
              <w:pStyle w:val="BoxText"/>
            </w:pPr>
            <w:r>
              <w:t xml:space="preserve">On 27 August 2013, the court disqualified Mark </w:t>
            </w:r>
            <w:proofErr w:type="spellStart"/>
            <w:r>
              <w:t>Whittingham</w:t>
            </w:r>
            <w:proofErr w:type="spellEnd"/>
            <w:r>
              <w:t xml:space="preserve">, from managing any corporation until 1 September 2028. In its final orders, the court also required the defendants to pay nearly $20,000 in costs, and advertise the court’s decision in the </w:t>
            </w:r>
            <w:r>
              <w:rPr>
                <w:i/>
              </w:rPr>
              <w:t>Herald Sun</w:t>
            </w:r>
            <w:r>
              <w:t xml:space="preserve"> newspaper.</w:t>
            </w:r>
          </w:p>
        </w:tc>
      </w:tr>
    </w:tbl>
    <w:p w14:paraId="2B54BB21" w14:textId="77777777" w:rsidR="00BC5298" w:rsidRDefault="00BC5298">
      <w:pPr>
        <w:spacing w:after="0" w:line="240" w:lineRule="auto"/>
      </w:pPr>
      <w:r>
        <w:br w:type="page"/>
      </w:r>
    </w:p>
    <w:tbl>
      <w:tblPr>
        <w:tblStyle w:val="TableGrid"/>
        <w:tblW w:w="0" w:type="auto"/>
        <w:tblLook w:val="04A0" w:firstRow="1" w:lastRow="0" w:firstColumn="1" w:lastColumn="0" w:noHBand="0" w:noVBand="1"/>
      </w:tblPr>
      <w:tblGrid>
        <w:gridCol w:w="9286"/>
      </w:tblGrid>
      <w:tr w:rsidR="00BC5298" w14:paraId="2B54BB2A" w14:textId="77777777" w:rsidTr="00BC5298">
        <w:tc>
          <w:tcPr>
            <w:tcW w:w="9286" w:type="dxa"/>
          </w:tcPr>
          <w:p w14:paraId="2B54BB22" w14:textId="77777777" w:rsidR="00BC5298" w:rsidRPr="002D5DC7" w:rsidRDefault="00BC5298" w:rsidP="00CF34FE">
            <w:pPr>
              <w:pStyle w:val="BoxHeading"/>
            </w:pPr>
            <w:r>
              <w:lastRenderedPageBreak/>
              <w:t>Case s</w:t>
            </w:r>
            <w:r w:rsidRPr="002D5DC7">
              <w:t>tudy</w:t>
            </w:r>
            <w:r w:rsidR="007746DB">
              <w:t xml:space="preserve"> </w:t>
            </w:r>
            <w:r w:rsidR="00C21AC8">
              <w:t>9</w:t>
            </w:r>
            <w:r>
              <w:t xml:space="preserve"> —</w:t>
            </w:r>
            <w:r w:rsidRPr="002D5DC7">
              <w:t xml:space="preserve"> Extended </w:t>
            </w:r>
            <w:r>
              <w:t>w</w:t>
            </w:r>
            <w:r w:rsidRPr="002D5DC7">
              <w:t>arranties</w:t>
            </w:r>
          </w:p>
          <w:p w14:paraId="2B54BB23" w14:textId="1AD00989" w:rsidR="00BC5298" w:rsidRDefault="00BC5298" w:rsidP="00CF34FE">
            <w:pPr>
              <w:pStyle w:val="BoxText"/>
            </w:pPr>
            <w:r w:rsidRPr="00BE728D">
              <w:t>In the second half of 2012</w:t>
            </w:r>
            <w:r w:rsidR="00455542">
              <w:noBreakHyphen/>
            </w:r>
            <w:r w:rsidRPr="00BE728D">
              <w:t>13</w:t>
            </w:r>
            <w:r>
              <w:t>,</w:t>
            </w:r>
            <w:r w:rsidRPr="00BE728D">
              <w:t xml:space="preserve"> a national project commenced targeting the conduct of extended warranty providers and retailers offering extended warranties to consumers</w:t>
            </w:r>
            <w:r w:rsidR="00455542">
              <w:t xml:space="preserve">. </w:t>
            </w:r>
            <w:r w:rsidRPr="00BE728D">
              <w:t xml:space="preserve"> The project addressed concerns that retailers were</w:t>
            </w:r>
            <w:r>
              <w:t>:</w:t>
            </w:r>
            <w:r w:rsidRPr="00BE728D">
              <w:t xml:space="preserve"> </w:t>
            </w:r>
          </w:p>
          <w:p w14:paraId="2B54BB24" w14:textId="77777777" w:rsidR="00BC5298" w:rsidRDefault="00BC5298" w:rsidP="00CF34FE">
            <w:pPr>
              <w:pStyle w:val="BoxBullet"/>
            </w:pPr>
            <w:r w:rsidRPr="00BE728D">
              <w:t>seeking to avoid their consumer guarantee obligations by representing extended warranties as the only way of receiving remedies in the event of a problem, or creating ambiguity around the nature of an extended warranty</w:t>
            </w:r>
            <w:r>
              <w:t>;</w:t>
            </w:r>
            <w:r w:rsidRPr="00BE728D">
              <w:t xml:space="preserve"> </w:t>
            </w:r>
          </w:p>
          <w:p w14:paraId="2B54BB25" w14:textId="3F1D8B9D" w:rsidR="00BC5298" w:rsidRDefault="00BC5298" w:rsidP="00CF34FE">
            <w:pPr>
              <w:pStyle w:val="BoxBullet"/>
            </w:pPr>
            <w:r>
              <w:t xml:space="preserve">applying </w:t>
            </w:r>
            <w:r w:rsidRPr="00BE728D">
              <w:t>high</w:t>
            </w:r>
            <w:r w:rsidR="00455542">
              <w:noBreakHyphen/>
            </w:r>
            <w:r w:rsidRPr="00BE728D">
              <w:t>pressure sales tactics encouraging consumers to make uninformed decisions about the need for extended warrantie</w:t>
            </w:r>
            <w:r>
              <w:t>s;</w:t>
            </w:r>
          </w:p>
          <w:p w14:paraId="2B54BB26" w14:textId="77777777" w:rsidR="00BC5298" w:rsidRDefault="00BC5298" w:rsidP="00CF34FE">
            <w:pPr>
              <w:pStyle w:val="BoxBullet"/>
            </w:pPr>
            <w:r>
              <w:t>failing to properly disclose terms and conditions before the sale of extended warranties, including with regards to exclusions such as consequential losses; and</w:t>
            </w:r>
          </w:p>
          <w:p w14:paraId="2B54BB27" w14:textId="77777777" w:rsidR="00BC5298" w:rsidRDefault="00BC5298" w:rsidP="00CF34FE">
            <w:pPr>
              <w:pStyle w:val="BoxBullet"/>
            </w:pPr>
            <w:proofErr w:type="gramStart"/>
            <w:r>
              <w:t>unclear</w:t>
            </w:r>
            <w:proofErr w:type="gramEnd"/>
            <w:r>
              <w:t xml:space="preserve"> about how extended warranties interact with their obligations under the ACL. </w:t>
            </w:r>
          </w:p>
          <w:p w14:paraId="2B54BB28" w14:textId="7D7033BB" w:rsidR="00BC5298" w:rsidRDefault="00BC5298" w:rsidP="00CF34FE">
            <w:pPr>
              <w:pStyle w:val="BoxText"/>
            </w:pPr>
            <w:r>
              <w:t>Particular industries and businesses were targeted following research by jurisdictions, including examination of complaints data</w:t>
            </w:r>
            <w:r w:rsidR="00455542">
              <w:t xml:space="preserve">. </w:t>
            </w:r>
            <w:r>
              <w:t>The project focussed on retailers of whitegoods, computers and cars</w:t>
            </w:r>
            <w:r w:rsidR="00455542">
              <w:t xml:space="preserve">. </w:t>
            </w:r>
            <w:r>
              <w:t>A total of 66 retailers or extended warranty product providers were targeted, with around 70 other companies identified to receive educational letters</w:t>
            </w:r>
            <w:r w:rsidR="00455542">
              <w:t xml:space="preserve">. </w:t>
            </w:r>
            <w:r>
              <w:t>Initial compliance activity included obtaining and reviewing extended warranty products, undertaking mystery shopping to assess compliance levels and close engagement with national stakeholders through national forums.</w:t>
            </w:r>
          </w:p>
          <w:p w14:paraId="2B54BB29" w14:textId="6DA206A2" w:rsidR="00BC5298" w:rsidRDefault="00BC5298" w:rsidP="00CF34FE">
            <w:pPr>
              <w:pStyle w:val="BoxText"/>
            </w:pPr>
            <w:r>
              <w:t>Investigations to date have found approximately 11 per cent of identified businesses no longer offered extended warranties, 41 per cent achieved substantial compliance and required no further action, 9 per cent were sent educational letters, 3 per cent were sent a warning, and 36 per cent are still being reviewed, investigated or awaiting legal advice on enforcement actions</w:t>
            </w:r>
            <w:r w:rsidR="00455542">
              <w:t xml:space="preserve">. </w:t>
            </w:r>
            <w:r>
              <w:t>The project will continue in 2013</w:t>
            </w:r>
            <w:r w:rsidR="00455542">
              <w:noBreakHyphen/>
            </w:r>
            <w:r>
              <w:t>14 with the focus on finalising the outcomes of compliance efforts and achieving a consistent national approach to any subsequent enforcement action.</w:t>
            </w:r>
          </w:p>
        </w:tc>
      </w:tr>
      <w:tr w:rsidR="00BC5298" w14:paraId="2B54BB2C" w14:textId="77777777" w:rsidTr="00BC5298">
        <w:tc>
          <w:tcPr>
            <w:tcW w:w="9286" w:type="dxa"/>
          </w:tcPr>
          <w:p w14:paraId="2B54BB2B" w14:textId="77777777" w:rsidR="00BC5298" w:rsidRDefault="00BC5298" w:rsidP="00CF34FE">
            <w:pPr>
              <w:pStyle w:val="BoxText"/>
            </w:pPr>
            <w:r w:rsidRPr="000F6A86">
              <w:t xml:space="preserve">The project </w:t>
            </w:r>
            <w:r>
              <w:t xml:space="preserve">also included liaison </w:t>
            </w:r>
            <w:r w:rsidRPr="000F6A86">
              <w:t xml:space="preserve">with ASIC to consider whether the extended warranties </w:t>
            </w:r>
            <w:r>
              <w:t xml:space="preserve">under review may be </w:t>
            </w:r>
            <w:r w:rsidRPr="000F6A86">
              <w:t xml:space="preserve">'financial products' under the </w:t>
            </w:r>
            <w:r w:rsidRPr="000F6A86">
              <w:rPr>
                <w:i/>
                <w:iCs/>
              </w:rPr>
              <w:t>Australian Securities and Investments Commission Act 2001</w:t>
            </w:r>
            <w:r w:rsidRPr="000F6A86">
              <w:t xml:space="preserve"> and the</w:t>
            </w:r>
            <w:r w:rsidRPr="000F6A86">
              <w:rPr>
                <w:i/>
                <w:iCs/>
              </w:rPr>
              <w:t xml:space="preserve"> Corporations Act 2001</w:t>
            </w:r>
            <w:r w:rsidRPr="000F6A86">
              <w:t xml:space="preserve">. </w:t>
            </w:r>
            <w:r>
              <w:t>Whether or not an extended warranty product is a financial product has implications for agencies' jurisdiction</w:t>
            </w:r>
            <w:r w:rsidRPr="000F6A86">
              <w:t xml:space="preserve"> to take a</w:t>
            </w:r>
            <w:r>
              <w:t xml:space="preserve">ction. </w:t>
            </w:r>
            <w:r w:rsidRPr="003C5BFC">
              <w:t xml:space="preserve">The regulators worked to ensure referral arrangements were in place to ensure that relevant agencies had necessary powers to allow for comprehensive consideration of conduct. </w:t>
            </w:r>
          </w:p>
        </w:tc>
      </w:tr>
    </w:tbl>
    <w:p w14:paraId="2B54BB2D" w14:textId="77777777" w:rsidR="00BC5298" w:rsidRDefault="00BC5298" w:rsidP="009C6840">
      <w:pPr>
        <w:pStyle w:val="Normalnumbered"/>
        <w:spacing w:line="260" w:lineRule="exact"/>
      </w:pPr>
    </w:p>
    <w:p w14:paraId="2B54BB2E" w14:textId="77777777" w:rsidR="00BC5298" w:rsidRDefault="00BC5298" w:rsidP="00B70D91">
      <w:pPr>
        <w:spacing w:after="0" w:line="240" w:lineRule="auto"/>
      </w:pPr>
      <w:r>
        <w:br w:type="page"/>
      </w:r>
    </w:p>
    <w:tbl>
      <w:tblPr>
        <w:tblStyle w:val="TableGrid"/>
        <w:tblW w:w="0" w:type="auto"/>
        <w:tblLook w:val="04A0" w:firstRow="1" w:lastRow="0" w:firstColumn="1" w:lastColumn="0" w:noHBand="0" w:noVBand="1"/>
      </w:tblPr>
      <w:tblGrid>
        <w:gridCol w:w="9286"/>
      </w:tblGrid>
      <w:tr w:rsidR="003833A4" w14:paraId="2B54BB3A" w14:textId="77777777" w:rsidTr="003833A4">
        <w:tc>
          <w:tcPr>
            <w:tcW w:w="9286" w:type="dxa"/>
          </w:tcPr>
          <w:p w14:paraId="2B54BB2F" w14:textId="77777777" w:rsidR="003833A4" w:rsidRPr="00E12396" w:rsidRDefault="003833A4" w:rsidP="00CF34FE">
            <w:pPr>
              <w:pStyle w:val="BoxHeading"/>
            </w:pPr>
            <w:r w:rsidRPr="00E12396">
              <w:lastRenderedPageBreak/>
              <w:t xml:space="preserve">Case study </w:t>
            </w:r>
            <w:r w:rsidR="00C21AC8">
              <w:t>10</w:t>
            </w:r>
            <w:r w:rsidR="002A50B4">
              <w:t xml:space="preserve"> — An update on t</w:t>
            </w:r>
            <w:r w:rsidRPr="00E12396">
              <w:t>ravelling conmen</w:t>
            </w:r>
          </w:p>
          <w:p w14:paraId="2B54BB30" w14:textId="78E024B7" w:rsidR="003833A4" w:rsidRDefault="003833A4" w:rsidP="00CF34FE">
            <w:pPr>
              <w:pStyle w:val="BoxText"/>
            </w:pPr>
            <w:r>
              <w:t xml:space="preserve">In the </w:t>
            </w:r>
            <w:r w:rsidR="002A50B4" w:rsidRPr="002A50B4">
              <w:rPr>
                <w:i/>
              </w:rPr>
              <w:t>Implementation of the Australian Consumer Law Report on progress II (2011</w:t>
            </w:r>
            <w:r w:rsidR="00455542">
              <w:rPr>
                <w:i/>
              </w:rPr>
              <w:noBreakHyphen/>
            </w:r>
            <w:r w:rsidR="002A50B4" w:rsidRPr="002A50B4">
              <w:rPr>
                <w:i/>
              </w:rPr>
              <w:t>12)</w:t>
            </w:r>
            <w:r w:rsidR="002A50B4">
              <w:t>,</w:t>
            </w:r>
            <w:r>
              <w:t xml:space="preserve"> jurisdictions </w:t>
            </w:r>
            <w:r w:rsidR="002F59A1">
              <w:t>outlined</w:t>
            </w:r>
            <w:r>
              <w:t xml:space="preserve"> efforts</w:t>
            </w:r>
            <w:r w:rsidRPr="0006364B">
              <w:t xml:space="preserve"> to establish a national project to adopt </w:t>
            </w:r>
            <w:r>
              <w:t>a consistent and coordinated</w:t>
            </w:r>
            <w:r w:rsidRPr="0006364B">
              <w:t xml:space="preserve"> enforcement approach to </w:t>
            </w:r>
            <w:r>
              <w:t>eradicate</w:t>
            </w:r>
            <w:r w:rsidRPr="0006364B">
              <w:t xml:space="preserve"> unlawful selling of goods and services by travelling conmen</w:t>
            </w:r>
            <w:r w:rsidR="00455542">
              <w:t xml:space="preserve">. </w:t>
            </w:r>
            <w:r w:rsidRPr="0006364B">
              <w:t>A national taskforce was established in September 2011</w:t>
            </w:r>
            <w:r>
              <w:t xml:space="preserve">. </w:t>
            </w:r>
            <w:r w:rsidRPr="0006364B">
              <w:t xml:space="preserve">This taskforce </w:t>
            </w:r>
            <w:r>
              <w:t>liaised closely</w:t>
            </w:r>
            <w:r w:rsidRPr="0006364B">
              <w:t xml:space="preserve"> with customs officers, </w:t>
            </w:r>
            <w:r w:rsidR="00BD28F1">
              <w:t xml:space="preserve">and </w:t>
            </w:r>
            <w:r w:rsidRPr="0006364B">
              <w:t>immigration and law enforcement agencies</w:t>
            </w:r>
            <w:r w:rsidR="00455542">
              <w:t xml:space="preserve">. </w:t>
            </w:r>
            <w:r>
              <w:t>Work on the project continued in 2012</w:t>
            </w:r>
            <w:r w:rsidR="00455542">
              <w:noBreakHyphen/>
            </w:r>
            <w:r>
              <w:t>13</w:t>
            </w:r>
            <w:r w:rsidR="00455542">
              <w:t xml:space="preserve">. </w:t>
            </w:r>
            <w:r w:rsidR="00BD28F1">
              <w:t>S</w:t>
            </w:r>
            <w:r>
              <w:t>uccessful outcomes of the project includ</w:t>
            </w:r>
            <w:r w:rsidR="00BD28F1">
              <w:t>e</w:t>
            </w:r>
            <w:r>
              <w:t>:</w:t>
            </w:r>
          </w:p>
          <w:p w14:paraId="2B54BB31" w14:textId="77777777" w:rsidR="003833A4" w:rsidRDefault="003833A4" w:rsidP="00CF34FE">
            <w:pPr>
              <w:pStyle w:val="BoxBullet"/>
            </w:pPr>
            <w:r>
              <w:t>the establishment o</w:t>
            </w:r>
            <w:r w:rsidR="002A50B4">
              <w:t>f operational links with other fair t</w:t>
            </w:r>
            <w:r>
              <w:t xml:space="preserve">rading jurisdictions, </w:t>
            </w:r>
            <w:r w:rsidR="002A50B4">
              <w:t>p</w:t>
            </w:r>
            <w:r>
              <w:t xml:space="preserve">olice services, </w:t>
            </w:r>
            <w:r w:rsidR="002A50B4">
              <w:t>customs o</w:t>
            </w:r>
            <w:r>
              <w:t xml:space="preserve">fficers, </w:t>
            </w:r>
            <w:r w:rsidR="002A50B4">
              <w:t>immigration and t</w:t>
            </w:r>
            <w:r>
              <w:t>raffic authorities resulting in the exchange of valuable intelligence;</w:t>
            </w:r>
          </w:p>
          <w:p w14:paraId="2B54BB32" w14:textId="77777777" w:rsidR="003833A4" w:rsidRDefault="003833A4" w:rsidP="00CF34FE">
            <w:pPr>
              <w:pStyle w:val="BoxBullet"/>
            </w:pPr>
            <w:r>
              <w:t xml:space="preserve">53 individuals being prosecuted for 210 breaches of the ACL and </w:t>
            </w:r>
            <w:r w:rsidR="00BD28F1">
              <w:t xml:space="preserve">other </w:t>
            </w:r>
            <w:r>
              <w:t>laws, resulting in fines and related court costs of $475,772;</w:t>
            </w:r>
          </w:p>
          <w:p w14:paraId="2B54BB33" w14:textId="6311A57D" w:rsidR="003833A4" w:rsidRDefault="003833A4" w:rsidP="00CF34FE">
            <w:pPr>
              <w:pStyle w:val="BoxBullet"/>
            </w:pPr>
            <w:r>
              <w:t>assisting Commonwealth authorities to arrange for the departure from Australia of 46</w:t>
            </w:r>
            <w:r w:rsidR="00E270D0">
              <w:t> </w:t>
            </w:r>
            <w:r>
              <w:t>individuals for breaching various visa conditions</w:t>
            </w:r>
            <w:r w:rsidR="002F4FFB">
              <w:t>;</w:t>
            </w:r>
          </w:p>
          <w:p w14:paraId="2B54BB34" w14:textId="362C99CE" w:rsidR="003833A4" w:rsidRDefault="003833A4" w:rsidP="00CF34FE">
            <w:pPr>
              <w:pStyle w:val="BoxBullet"/>
            </w:pPr>
            <w:r>
              <w:t>the cross</w:t>
            </w:r>
            <w:r w:rsidR="00455542">
              <w:noBreakHyphen/>
            </w:r>
            <w:r>
              <w:t>agency appointment of investigators across three jurisdictions to each other’s jurisdiction (N</w:t>
            </w:r>
            <w:r w:rsidR="002F4FFB">
              <w:t xml:space="preserve">ew </w:t>
            </w:r>
            <w:r>
              <w:t>S</w:t>
            </w:r>
            <w:r w:rsidR="002F4FFB">
              <w:t xml:space="preserve">outh </w:t>
            </w:r>
            <w:r>
              <w:t>W</w:t>
            </w:r>
            <w:r w:rsidR="002F4FFB">
              <w:t>ales</w:t>
            </w:r>
            <w:r>
              <w:t>, Victoria and Tasmania)</w:t>
            </w:r>
            <w:r w:rsidR="002F4FFB">
              <w:t>;</w:t>
            </w:r>
          </w:p>
          <w:p w14:paraId="2B54BB35" w14:textId="77777777" w:rsidR="003833A4" w:rsidRDefault="003833A4" w:rsidP="00CF34FE">
            <w:pPr>
              <w:pStyle w:val="BoxBullet"/>
            </w:pPr>
            <w:r>
              <w:t>N</w:t>
            </w:r>
            <w:r w:rsidR="002F4FFB">
              <w:t xml:space="preserve">ew </w:t>
            </w:r>
            <w:r>
              <w:t>S</w:t>
            </w:r>
            <w:r w:rsidR="002F4FFB">
              <w:t xml:space="preserve">outh </w:t>
            </w:r>
            <w:r>
              <w:t>W</w:t>
            </w:r>
            <w:r w:rsidR="002F4FFB">
              <w:t>ales</w:t>
            </w:r>
            <w:r>
              <w:t>, Victoria, Queensland and Tasmania signing a Memorandum of Understanding</w:t>
            </w:r>
            <w:r w:rsidR="00132D03">
              <w:t>; and</w:t>
            </w:r>
          </w:p>
          <w:p w14:paraId="2B54BB36" w14:textId="77777777" w:rsidR="003833A4" w:rsidRDefault="003833A4" w:rsidP="00CF34FE">
            <w:pPr>
              <w:pStyle w:val="BoxBullet"/>
            </w:pPr>
            <w:proofErr w:type="gramStart"/>
            <w:r>
              <w:t>a</w:t>
            </w:r>
            <w:proofErr w:type="gramEnd"/>
            <w:r>
              <w:t xml:space="preserve"> public awareness campaign including a national hotline, launch of the ‘stop travelling conmen’ website, </w:t>
            </w:r>
            <w:r w:rsidRPr="00356264">
              <w:t>Twitter and Facebook announcements</w:t>
            </w:r>
            <w:r w:rsidR="009A4C4B">
              <w:t>,</w:t>
            </w:r>
            <w:r w:rsidRPr="00356264">
              <w:t xml:space="preserve"> and</w:t>
            </w:r>
            <w:r>
              <w:t xml:space="preserve"> </w:t>
            </w:r>
            <w:r w:rsidRPr="00356264">
              <w:t>the distribution of at least 15,000 brochures, posters and stickers.</w:t>
            </w:r>
          </w:p>
          <w:p w14:paraId="2B54BB37" w14:textId="3F3CDD27" w:rsidR="000A6E6A" w:rsidRDefault="00B56558" w:rsidP="00CF34FE">
            <w:pPr>
              <w:pStyle w:val="BoxText"/>
            </w:pPr>
            <w:r w:rsidRPr="00B56558">
              <w:t xml:space="preserve">The effectiveness of the national campaign in addressing the problem of travelling conmen in Australia </w:t>
            </w:r>
            <w:r w:rsidR="00132D03" w:rsidRPr="00CF34FE">
              <w:t>was</w:t>
            </w:r>
            <w:r w:rsidRPr="00B56558">
              <w:t xml:space="preserve"> recognised by Crime Stoppers at its rece</w:t>
            </w:r>
            <w:r>
              <w:t>nt International Conference</w:t>
            </w:r>
            <w:r w:rsidRPr="00B56558">
              <w:t xml:space="preserve">, where the campaign received a Crime Stoppers International Award. Against a field that included South Africa, the UK, the Netherlands and Canada, the campaign was awarded the highest honour in </w:t>
            </w:r>
            <w:r>
              <w:t>the community service category</w:t>
            </w:r>
            <w:r w:rsidR="00455542">
              <w:t xml:space="preserve">. </w:t>
            </w:r>
          </w:p>
          <w:p w14:paraId="2B54BB38" w14:textId="77777777" w:rsidR="003A5E86" w:rsidRDefault="003833A4" w:rsidP="00CF34FE">
            <w:pPr>
              <w:pStyle w:val="BoxText"/>
            </w:pPr>
            <w:r>
              <w:t>The project was f</w:t>
            </w:r>
            <w:r w:rsidR="002F4FFB">
              <w:t>ormally closed in February 2013;</w:t>
            </w:r>
            <w:r>
              <w:t xml:space="preserve"> however, regulators continue to work together to </w:t>
            </w:r>
            <w:r w:rsidRPr="00CF34FE">
              <w:t>take</w:t>
            </w:r>
            <w:r>
              <w:t xml:space="preserve"> enforcement action and disrupt the business model of travelling conmen operating throughout Australia.</w:t>
            </w:r>
          </w:p>
          <w:p w14:paraId="2B54BB39" w14:textId="77777777" w:rsidR="00B56558" w:rsidRDefault="003A5E86" w:rsidP="000A6E6A">
            <w:pPr>
              <w:pStyle w:val="BoxText"/>
              <w:spacing w:line="240" w:lineRule="auto"/>
              <w:jc w:val="center"/>
            </w:pPr>
            <w:r>
              <w:object w:dxaOrig="12240" w:dyaOrig="7515" w14:anchorId="2B54BC38">
                <v:shape id="_x0000_i1028" type="#_x0000_t75" style="width:256.5pt;height:156.75pt" o:ole="">
                  <v:imagedata r:id="rId52" o:title=""/>
                </v:shape>
                <o:OLEObject Type="Embed" ProgID="PBrush" ShapeID="_x0000_i1028" DrawAspect="Content" ObjectID="_1445348219" r:id="rId53"/>
              </w:object>
            </w:r>
            <w:r>
              <w:br/>
            </w:r>
            <w:r w:rsidRPr="00986584">
              <w:rPr>
                <w:rFonts w:ascii="Arial" w:hAnsi="Arial"/>
                <w:sz w:val="16"/>
              </w:rPr>
              <w:t xml:space="preserve">Source: </w:t>
            </w:r>
            <w:r>
              <w:rPr>
                <w:rFonts w:ascii="Arial" w:hAnsi="Arial"/>
                <w:sz w:val="16"/>
              </w:rPr>
              <w:t xml:space="preserve">Travelling Conmen Campaign Brochure located at </w:t>
            </w:r>
            <w:hyperlink r:id="rId54" w:history="1">
              <w:r w:rsidR="00B56558" w:rsidRPr="00E64A05">
                <w:rPr>
                  <w:rStyle w:val="Hyperlink"/>
                  <w:rFonts w:ascii="Arial" w:hAnsi="Arial"/>
                  <w:sz w:val="16"/>
                </w:rPr>
                <w:t>http://www.stoptravellingconmen.org</w:t>
              </w:r>
            </w:hyperlink>
          </w:p>
        </w:tc>
      </w:tr>
    </w:tbl>
    <w:p w14:paraId="4C697400" w14:textId="77777777" w:rsidR="00E270D0" w:rsidRDefault="00E270D0" w:rsidP="00E270D0">
      <w:pPr>
        <w:pStyle w:val="SingleParagraph"/>
      </w:pPr>
      <w:bookmarkStart w:id="84" w:name="_Toc342299531"/>
      <w:bookmarkStart w:id="85" w:name="_Toc342381494"/>
      <w:bookmarkStart w:id="86" w:name="_Toc370468069"/>
    </w:p>
    <w:p w14:paraId="3BA38AFE" w14:textId="77777777" w:rsidR="00E270D0" w:rsidRDefault="00E270D0" w:rsidP="00E270D0">
      <w:pPr>
        <w:rPr>
          <w:rFonts w:ascii="Arial" w:hAnsi="Arial" w:cs="Arial"/>
          <w:color w:val="00673A"/>
          <w:sz w:val="26"/>
          <w:szCs w:val="26"/>
        </w:rPr>
      </w:pPr>
      <w:r>
        <w:br w:type="page"/>
      </w:r>
    </w:p>
    <w:p w14:paraId="2B54BB3B" w14:textId="0493F826" w:rsidR="007A0B54" w:rsidRDefault="007A0B54" w:rsidP="007A0B54">
      <w:pPr>
        <w:pStyle w:val="Heading3"/>
      </w:pPr>
      <w:r>
        <w:lastRenderedPageBreak/>
        <w:t>Responding to unfair trade practices</w:t>
      </w:r>
      <w:bookmarkEnd w:id="84"/>
      <w:bookmarkEnd w:id="85"/>
      <w:bookmarkEnd w:id="86"/>
    </w:p>
    <w:p w14:paraId="2B54BB3C" w14:textId="77777777" w:rsidR="00235FE9" w:rsidRDefault="00235FE9" w:rsidP="00CF34FE">
      <w:r>
        <w:t>The ACL contains penalties, enforcement powers and consumer redress optio</w:t>
      </w:r>
      <w:r w:rsidR="00DE3A0B">
        <w:t>ns which enhance the ability of</w:t>
      </w:r>
      <w:r>
        <w:t xml:space="preserve"> regulators to enforce the ACL and for effective remedies to be </w:t>
      </w:r>
      <w:r w:rsidR="00DE3A0B">
        <w:t>obtained</w:t>
      </w:r>
      <w:r>
        <w:t xml:space="preserve"> for parties affected by a breach. These powers and remedies include:</w:t>
      </w:r>
    </w:p>
    <w:p w14:paraId="2B54BB3D" w14:textId="77777777" w:rsidR="00235FE9" w:rsidRDefault="00235FE9" w:rsidP="00235FE9">
      <w:pPr>
        <w:pStyle w:val="Bullet"/>
      </w:pPr>
      <w:r>
        <w:t>enforceable undertakings;</w:t>
      </w:r>
    </w:p>
    <w:p w14:paraId="2B54BB3E" w14:textId="77777777" w:rsidR="00235FE9" w:rsidRDefault="00235FE9" w:rsidP="00235FE9">
      <w:pPr>
        <w:pStyle w:val="Bullet"/>
      </w:pPr>
      <w:r>
        <w:t>substantiation, infringement and public warning notices;</w:t>
      </w:r>
    </w:p>
    <w:p w14:paraId="2B54BB3F" w14:textId="77777777" w:rsidR="00235FE9" w:rsidRDefault="00235FE9" w:rsidP="00235FE9">
      <w:pPr>
        <w:pStyle w:val="Bullet"/>
      </w:pPr>
      <w:r>
        <w:t xml:space="preserve">civil pecuniary penalties and criminal penalties of up to $1.1 million for a body corporate and $220,000 for an individual; </w:t>
      </w:r>
    </w:p>
    <w:p w14:paraId="2B54BB40" w14:textId="77777777" w:rsidR="00235FE9" w:rsidRDefault="00235FE9" w:rsidP="00235FE9">
      <w:pPr>
        <w:pStyle w:val="Bullet"/>
      </w:pPr>
      <w:r>
        <w:t>damages and injunctions;</w:t>
      </w:r>
    </w:p>
    <w:p w14:paraId="2B54BB41" w14:textId="1579CA34" w:rsidR="00235FE9" w:rsidRDefault="00235FE9" w:rsidP="00235FE9">
      <w:pPr>
        <w:pStyle w:val="Bullet"/>
      </w:pPr>
      <w:r>
        <w:t>orders for non</w:t>
      </w:r>
      <w:r w:rsidR="00455542">
        <w:noBreakHyphen/>
      </w:r>
      <w:r>
        <w:t>party redress;</w:t>
      </w:r>
    </w:p>
    <w:p w14:paraId="2B54BB42" w14:textId="78922CDC" w:rsidR="00235FE9" w:rsidRDefault="00235FE9" w:rsidP="00235FE9">
      <w:pPr>
        <w:pStyle w:val="Bullet"/>
      </w:pPr>
      <w:r>
        <w:t>adverse publicity and non</w:t>
      </w:r>
      <w:r w:rsidR="00455542">
        <w:noBreakHyphen/>
      </w:r>
      <w:r>
        <w:t>punitive orders; and</w:t>
      </w:r>
    </w:p>
    <w:p w14:paraId="2B54BB43" w14:textId="77777777" w:rsidR="00235FE9" w:rsidRDefault="00235FE9" w:rsidP="00235FE9">
      <w:pPr>
        <w:pStyle w:val="Bullet"/>
      </w:pPr>
      <w:proofErr w:type="gramStart"/>
      <w:r>
        <w:t>disqualification</w:t>
      </w:r>
      <w:proofErr w:type="gramEnd"/>
      <w:r>
        <w:t xml:space="preserve"> orders from managing corporations. </w:t>
      </w:r>
    </w:p>
    <w:p w14:paraId="2B54BB44" w14:textId="37DDB57A" w:rsidR="00F66A3A" w:rsidRDefault="006E2930" w:rsidP="00CF34FE">
      <w:r>
        <w:t>Under the multi</w:t>
      </w:r>
      <w:r w:rsidR="00455542">
        <w:noBreakHyphen/>
      </w:r>
      <w:r>
        <w:t xml:space="preserve">regulator model for the ACL, consumer agencies have worked together to use these </w:t>
      </w:r>
      <w:r w:rsidR="00235FE9">
        <w:t>en</w:t>
      </w:r>
      <w:r>
        <w:t>forcement powers and remedies</w:t>
      </w:r>
      <w:r w:rsidR="00235FE9">
        <w:t xml:space="preserve"> </w:t>
      </w:r>
      <w:r>
        <w:t xml:space="preserve">to achieve coordinated and consistent </w:t>
      </w:r>
      <w:r w:rsidR="00235FE9">
        <w:t xml:space="preserve">enforcement </w:t>
      </w:r>
      <w:r>
        <w:t>across jurisdictions</w:t>
      </w:r>
      <w:r w:rsidR="004F6F3E">
        <w:t xml:space="preserve"> (see</w:t>
      </w:r>
      <w:r>
        <w:t xml:space="preserve"> Case study </w:t>
      </w:r>
      <w:r w:rsidR="007746DB">
        <w:t>1</w:t>
      </w:r>
      <w:r w:rsidR="00C21AC8">
        <w:t>1</w:t>
      </w:r>
      <w:r w:rsidR="004F6F3E">
        <w:t>)</w:t>
      </w:r>
      <w:r w:rsidR="00455542">
        <w:t xml:space="preserve">. </w:t>
      </w:r>
      <w:r w:rsidR="00B75A25">
        <w:t>Agencies have also continued to assess the effectiveness of enforcement tools, including with regards to the appropriateness and consistency of application of remedies and penalties across Australia.</w:t>
      </w:r>
    </w:p>
    <w:tbl>
      <w:tblPr>
        <w:tblStyle w:val="TableGrid"/>
        <w:tblW w:w="0" w:type="auto"/>
        <w:tblLook w:val="04A0" w:firstRow="1" w:lastRow="0" w:firstColumn="1" w:lastColumn="0" w:noHBand="0" w:noVBand="1"/>
      </w:tblPr>
      <w:tblGrid>
        <w:gridCol w:w="9286"/>
      </w:tblGrid>
      <w:tr w:rsidR="00765E8A" w14:paraId="2B54BB4A" w14:textId="77777777" w:rsidTr="00765E8A">
        <w:tc>
          <w:tcPr>
            <w:tcW w:w="9286" w:type="dxa"/>
          </w:tcPr>
          <w:p w14:paraId="2B54BB45" w14:textId="77777777" w:rsidR="00765E8A" w:rsidRPr="00183E21" w:rsidRDefault="00765E8A" w:rsidP="00CF34FE">
            <w:pPr>
              <w:pStyle w:val="BoxHeading"/>
            </w:pPr>
            <w:r w:rsidRPr="00183E21">
              <w:lastRenderedPageBreak/>
              <w:t xml:space="preserve">Case study </w:t>
            </w:r>
            <w:r w:rsidR="007746DB">
              <w:t>1</w:t>
            </w:r>
            <w:r w:rsidR="00C21AC8">
              <w:t>1</w:t>
            </w:r>
            <w:r>
              <w:t xml:space="preserve"> — ACL enforcement o</w:t>
            </w:r>
            <w:r w:rsidRPr="00183E21">
              <w:t>utcomes</w:t>
            </w:r>
          </w:p>
          <w:p w14:paraId="2B54BB46" w14:textId="77777777" w:rsidR="00765E8A" w:rsidRPr="00CF34FE" w:rsidRDefault="00765E8A" w:rsidP="00CF34FE">
            <w:pPr>
              <w:pStyle w:val="BoxHeading"/>
              <w:rPr>
                <w:i/>
              </w:rPr>
            </w:pPr>
            <w:r w:rsidRPr="00CF34FE">
              <w:rPr>
                <w:i/>
              </w:rPr>
              <w:t>Example 1</w:t>
            </w:r>
          </w:p>
          <w:p w14:paraId="2B54BB47" w14:textId="717D190E" w:rsidR="009A4C4B" w:rsidRPr="00CF34FE" w:rsidRDefault="009A4C4B" w:rsidP="00CF34FE">
            <w:pPr>
              <w:pStyle w:val="BoxText"/>
            </w:pPr>
            <w:r>
              <w:t>Consumer Protection Western Australia (CPWA) has commenced Supreme Court proceedings against two rent</w:t>
            </w:r>
            <w:r w:rsidR="00455542">
              <w:noBreakHyphen/>
            </w:r>
            <w:r>
              <w:t>to</w:t>
            </w:r>
            <w:r w:rsidR="00455542">
              <w:noBreakHyphen/>
            </w:r>
            <w:r>
              <w:t>buy scheme promoters for promoting rent</w:t>
            </w:r>
            <w:r w:rsidR="00455542">
              <w:noBreakHyphen/>
            </w:r>
            <w:r>
              <w:t>to</w:t>
            </w:r>
            <w:r w:rsidR="00455542">
              <w:noBreakHyphen/>
            </w:r>
            <w:r>
              <w:t xml:space="preserve">buy schemes. It is alleged the promoters are carrying on business as real estate agents without the required licence and that, in promoting their scheme, they have breached the ACL by misrepresenting the nature of the services they offer, the nature of their interests in the properties advertised, the need for buyers to ultimately obtain finance and the price of advertised properties. </w:t>
            </w:r>
          </w:p>
          <w:p w14:paraId="2B54BB48" w14:textId="77777777" w:rsidR="009A4C4B" w:rsidRDefault="009A4C4B" w:rsidP="00CF34FE">
            <w:pPr>
              <w:pStyle w:val="BoxText"/>
            </w:pPr>
            <w:r>
              <w:t>On 6 June 2013</w:t>
            </w:r>
            <w:r w:rsidR="00DD5F8D">
              <w:t>,</w:t>
            </w:r>
            <w:r>
              <w:t xml:space="preserve"> CPWA successfully obtained interim injunctions against the promoters requiring greater disclosure of the true nature of the scheme, while the case is being heard in the Supreme Court. For example, the promoters were required to publish a prominent notice on their website clarifying the nature of their business and clearly outlining the purchasing and rental arrangements for the properties they are advertising for sale under the scheme. They must also provide prospective purchasers a written notice accurately stating the nature of the scheme prior to any contract being made. </w:t>
            </w:r>
          </w:p>
          <w:p w14:paraId="2B54BB49" w14:textId="4873BB99" w:rsidR="007047AC" w:rsidRDefault="00EB66D7" w:rsidP="00CF34FE">
            <w:pPr>
              <w:pStyle w:val="BoxText"/>
            </w:pPr>
            <w:r w:rsidRPr="00A60647">
              <w:t xml:space="preserve">ASIC and ACL regulators are also working cooperatively to address legislative breaches by property investment </w:t>
            </w:r>
            <w:r w:rsidRPr="00CF34FE">
              <w:t>promoters</w:t>
            </w:r>
            <w:r w:rsidRPr="00A60647">
              <w:t xml:space="preserve"> more generally, including those involving associated arrangements for credit or financial advice about self</w:t>
            </w:r>
            <w:r w:rsidR="00455542">
              <w:noBreakHyphen/>
            </w:r>
            <w:r w:rsidRPr="00A60647">
              <w:t>managed superannuation funds</w:t>
            </w:r>
            <w:r w:rsidR="00455542">
              <w:t xml:space="preserve">. </w:t>
            </w:r>
            <w:r w:rsidRPr="00A60647">
              <w:t>In addition to a general focus by all regulators on any misleading representations, ASIC has additional jurisdiction under National Consumer Credit and Corporations legislation in relation to licensing, responsible lending and the appropriateness of financial advice.</w:t>
            </w:r>
          </w:p>
        </w:tc>
      </w:tr>
      <w:tr w:rsidR="00765E8A" w14:paraId="2B54BB59" w14:textId="77777777" w:rsidTr="00765E8A">
        <w:tc>
          <w:tcPr>
            <w:tcW w:w="9286" w:type="dxa"/>
          </w:tcPr>
          <w:p w14:paraId="2B54BB4C" w14:textId="77777777" w:rsidR="00EB66D7" w:rsidRPr="00CF34FE" w:rsidRDefault="00EB66D7" w:rsidP="00CF34FE">
            <w:pPr>
              <w:pStyle w:val="BoxHeading"/>
              <w:rPr>
                <w:i/>
              </w:rPr>
            </w:pPr>
            <w:r w:rsidRPr="00CF34FE">
              <w:rPr>
                <w:i/>
              </w:rPr>
              <w:t>Example 2</w:t>
            </w:r>
          </w:p>
          <w:p w14:paraId="2B54BB4D" w14:textId="77777777" w:rsidR="00EB66D7" w:rsidRDefault="00EB66D7" w:rsidP="00CF34FE">
            <w:pPr>
              <w:pStyle w:val="BoxText"/>
              <w:rPr>
                <w:rFonts w:ascii="Arial" w:hAnsi="Arial" w:cs="Arial"/>
                <w:b/>
                <w:color w:val="00673A"/>
                <w:szCs w:val="22"/>
              </w:rPr>
            </w:pPr>
            <w:r w:rsidRPr="00C9788D">
              <w:t xml:space="preserve">On 14 </w:t>
            </w:r>
            <w:r w:rsidRPr="00CF34FE">
              <w:t>September</w:t>
            </w:r>
            <w:r w:rsidRPr="00C9788D">
              <w:t xml:space="preserve"> 2012, the Que</w:t>
            </w:r>
            <w:r>
              <w:t xml:space="preserve">ensland Office of Fair Trading </w:t>
            </w:r>
            <w:r w:rsidRPr="00C9788D">
              <w:t>was successful in its court action against</w:t>
            </w:r>
            <w:r>
              <w:t xml:space="preserve"> a trader and his company, Queensland</w:t>
            </w:r>
            <w:r w:rsidRPr="00C9788D">
              <w:t xml:space="preserve"> Academic Systems Pty Ltd, which was found guilty of making false and misleading representations under the </w:t>
            </w:r>
            <w:r w:rsidRPr="00C9788D">
              <w:rPr>
                <w:i/>
              </w:rPr>
              <w:t>Fair Trading Act 1989</w:t>
            </w:r>
            <w:r w:rsidRPr="00C9788D">
              <w:t xml:space="preserve"> (QLD) and the </w:t>
            </w:r>
            <w:r>
              <w:t>ACL</w:t>
            </w:r>
            <w:r w:rsidRPr="00C9788D">
              <w:t>.</w:t>
            </w:r>
          </w:p>
          <w:p w14:paraId="2B54BB4E" w14:textId="213BF78A" w:rsidR="00E675D8" w:rsidRDefault="001943D5" w:rsidP="00CF34FE">
            <w:pPr>
              <w:pStyle w:val="BoxText"/>
            </w:pPr>
            <w:r>
              <w:t>The action was in relation to m</w:t>
            </w:r>
            <w:r w:rsidRPr="00C9788D">
              <w:t>isrepresentations</w:t>
            </w:r>
            <w:r>
              <w:t xml:space="preserve"> that no refunds applied to the supply of</w:t>
            </w:r>
            <w:r w:rsidRPr="00C9788D">
              <w:t xml:space="preserve"> accommodation</w:t>
            </w:r>
            <w:r>
              <w:t xml:space="preserve"> even though </w:t>
            </w:r>
            <w:r w:rsidRPr="00C9788D">
              <w:t>poor condition</w:t>
            </w:r>
            <w:r>
              <w:t>s meant that the accommodation was unsuitable</w:t>
            </w:r>
            <w:r w:rsidR="00455542">
              <w:t xml:space="preserve">. </w:t>
            </w:r>
            <w:r w:rsidR="005C0E36" w:rsidRPr="00CF34FE">
              <w:t>Substandard</w:t>
            </w:r>
            <w:r w:rsidR="005C0E36" w:rsidRPr="00C9788D">
              <w:t xml:space="preserve"> conditions at the premises included serious fire hazards which posed a risk to backpac</w:t>
            </w:r>
            <w:r w:rsidR="005C0E36">
              <w:t>kers and other nearby residents</w:t>
            </w:r>
            <w:r w:rsidR="00455542">
              <w:t xml:space="preserve">. </w:t>
            </w:r>
          </w:p>
          <w:p w14:paraId="2B54BB4F" w14:textId="149B35FF" w:rsidR="005C0E36" w:rsidRPr="00C9788D" w:rsidRDefault="005C0E36" w:rsidP="00CF34FE">
            <w:pPr>
              <w:pStyle w:val="BoxText"/>
            </w:pPr>
            <w:r w:rsidRPr="00C9788D">
              <w:t xml:space="preserve">The trader was </w:t>
            </w:r>
            <w:r w:rsidRPr="00CF34FE">
              <w:t>fined</w:t>
            </w:r>
            <w:r w:rsidRPr="00C9788D">
              <w:t xml:space="preserve"> $15,000 and ordered to pay restitution to affected consumers. A conviction was recorded</w:t>
            </w:r>
            <w:r w:rsidR="00455542">
              <w:t xml:space="preserve">. </w:t>
            </w:r>
            <w:r w:rsidRPr="00C9788D">
              <w:t>This matter was the first time a regulator has prosecuted a person for making misleading representations about rights and remedies under consumer guarantees provisions.</w:t>
            </w:r>
          </w:p>
          <w:p w14:paraId="2B54BB50" w14:textId="20E92F85" w:rsidR="005C0E36" w:rsidRDefault="005C0E36" w:rsidP="003D4893">
            <w:pPr>
              <w:pStyle w:val="BoxText"/>
            </w:pPr>
            <w:r w:rsidRPr="00C9788D">
              <w:t>The trader and his company were also prosecuted by the Queensland Fire and Rescue Service resulting in fines of over $650,000 and a su</w:t>
            </w:r>
            <w:r>
              <w:t>spended prison sentence for non</w:t>
            </w:r>
            <w:r w:rsidR="00455542">
              <w:noBreakHyphen/>
            </w:r>
            <w:r w:rsidRPr="00C9788D">
              <w:t>compliance with fire safety regulations.</w:t>
            </w:r>
          </w:p>
          <w:p w14:paraId="244A90A7" w14:textId="77777777" w:rsidR="00E270D0" w:rsidRDefault="00E270D0" w:rsidP="003D4893">
            <w:pPr>
              <w:pStyle w:val="BoxHeading"/>
              <w:rPr>
                <w:i/>
              </w:rPr>
            </w:pPr>
          </w:p>
          <w:p w14:paraId="11D3ED0E" w14:textId="77777777" w:rsidR="00E270D0" w:rsidRDefault="00E270D0" w:rsidP="003D4893">
            <w:pPr>
              <w:pStyle w:val="BoxHeading"/>
              <w:rPr>
                <w:i/>
              </w:rPr>
            </w:pPr>
          </w:p>
          <w:p w14:paraId="6DE5CBEB" w14:textId="77777777" w:rsidR="00E270D0" w:rsidRDefault="00E270D0" w:rsidP="003D4893">
            <w:pPr>
              <w:pStyle w:val="BoxHeading"/>
              <w:rPr>
                <w:i/>
              </w:rPr>
            </w:pPr>
          </w:p>
          <w:p w14:paraId="049B8AF0" w14:textId="77777777" w:rsidR="00E270D0" w:rsidRPr="00A772DF" w:rsidRDefault="00E270D0" w:rsidP="00E270D0">
            <w:pPr>
              <w:pStyle w:val="BoxHeading"/>
            </w:pPr>
            <w:r w:rsidRPr="00A772DF">
              <w:lastRenderedPageBreak/>
              <w:t xml:space="preserve">Case study </w:t>
            </w:r>
            <w:r>
              <w:t>11</w:t>
            </w:r>
            <w:r w:rsidRPr="00A772DF">
              <w:t xml:space="preserve"> — </w:t>
            </w:r>
            <w:r w:rsidRPr="00097593">
              <w:t>(Continued)</w:t>
            </w:r>
          </w:p>
          <w:p w14:paraId="2B54BB51" w14:textId="0A39FE84" w:rsidR="00765E8A" w:rsidRPr="003D4893" w:rsidRDefault="00765E8A" w:rsidP="003D4893">
            <w:pPr>
              <w:pStyle w:val="BoxHeading"/>
              <w:rPr>
                <w:i/>
              </w:rPr>
            </w:pPr>
            <w:r w:rsidRPr="003D4893">
              <w:rPr>
                <w:i/>
              </w:rPr>
              <w:t>Example 3</w:t>
            </w:r>
          </w:p>
          <w:p w14:paraId="2B54BB52" w14:textId="77777777" w:rsidR="00765E8A" w:rsidRPr="00815F04" w:rsidRDefault="00765E8A" w:rsidP="003D4893">
            <w:pPr>
              <w:pStyle w:val="BoxText"/>
            </w:pPr>
            <w:r w:rsidRPr="00815F04">
              <w:t xml:space="preserve">Consumer </w:t>
            </w:r>
            <w:r w:rsidRPr="003D4893">
              <w:t>Affairs</w:t>
            </w:r>
            <w:r w:rsidRPr="00815F04">
              <w:t xml:space="preserve"> and Fair Trading (CAFT) in Tasmania has commenced prosecution action against a furniture removals business based in Hobart. This action </w:t>
            </w:r>
            <w:r w:rsidR="00944488">
              <w:t>was in response</w:t>
            </w:r>
            <w:r w:rsidRPr="00815F04">
              <w:t xml:space="preserve"> to seven breaches of the ACL</w:t>
            </w:r>
            <w:r w:rsidR="00944488">
              <w:t xml:space="preserve"> relating to wrongly accepting payment</w:t>
            </w:r>
            <w:r w:rsidRPr="00815F04">
              <w:t>, and the matter is scheduled for trial in the Magistrate’s Court in Hobart in October 2013.</w:t>
            </w:r>
          </w:p>
          <w:p w14:paraId="2B54BB53" w14:textId="5D0169E9" w:rsidR="00765E8A" w:rsidRPr="00815F04" w:rsidRDefault="00765E8A" w:rsidP="003D4893">
            <w:pPr>
              <w:pStyle w:val="BoxText"/>
            </w:pPr>
            <w:r w:rsidRPr="00815F04">
              <w:t>Tasmania Police is also investigating several offences that the trader has allegedly committed under the Criminal Code</w:t>
            </w:r>
            <w:r w:rsidR="00455542">
              <w:t xml:space="preserve">. </w:t>
            </w:r>
            <w:r w:rsidRPr="00815F04">
              <w:t>Charges have been laid in relation to these matters.</w:t>
            </w:r>
          </w:p>
          <w:p w14:paraId="2B54BB54" w14:textId="7A268C3C" w:rsidR="00765E8A" w:rsidRPr="00815F04" w:rsidRDefault="00765E8A" w:rsidP="003D4893">
            <w:pPr>
              <w:pStyle w:val="BoxText"/>
            </w:pPr>
            <w:r w:rsidRPr="00815F04">
              <w:t xml:space="preserve">CAFT issued a </w:t>
            </w:r>
            <w:r w:rsidRPr="003D4893">
              <w:t>notice</w:t>
            </w:r>
            <w:r w:rsidRPr="00815F04">
              <w:t xml:space="preserve"> in May 2013, warning consumers not to deal with the individual or his business</w:t>
            </w:r>
            <w:r w:rsidR="00455542">
              <w:t xml:space="preserve">. </w:t>
            </w:r>
            <w:r w:rsidRPr="00815F04">
              <w:t xml:space="preserve">The notice was placed on the CAFT website and supported by advertisements in the three major Tasmanian newspapers as well as a media release </w:t>
            </w:r>
            <w:r>
              <w:t>from the Director of CAFT. </w:t>
            </w:r>
          </w:p>
          <w:p w14:paraId="2B54BB55" w14:textId="39488B11" w:rsidR="00765E8A" w:rsidRPr="00815F04" w:rsidRDefault="00765E8A" w:rsidP="003D4893">
            <w:pPr>
              <w:pStyle w:val="BoxText"/>
            </w:pPr>
            <w:r w:rsidRPr="00815F04">
              <w:t>This was the first time CAFT had exercised the public warning provisions contained in section 223 of the ACL</w:t>
            </w:r>
            <w:r w:rsidR="00455542">
              <w:t xml:space="preserve">. </w:t>
            </w:r>
            <w:r w:rsidR="00E675D8">
              <w:t>The public warnings</w:t>
            </w:r>
            <w:r w:rsidRPr="00815F04">
              <w:t xml:space="preserve"> prove</w:t>
            </w:r>
            <w:r w:rsidR="00E675D8">
              <w:t>d</w:t>
            </w:r>
            <w:r w:rsidRPr="00815F04">
              <w:t xml:space="preserve"> very effective in alerting people to th</w:t>
            </w:r>
            <w:r w:rsidR="00E675D8">
              <w:t>e</w:t>
            </w:r>
            <w:r w:rsidRPr="00815F04">
              <w:t xml:space="preserve"> trader’s behaviour, as well as bringing forward additional complaints</w:t>
            </w:r>
            <w:r w:rsidR="00455542">
              <w:t xml:space="preserve">. </w:t>
            </w:r>
          </w:p>
          <w:p w14:paraId="2B54BB56" w14:textId="77777777" w:rsidR="00765E8A" w:rsidRPr="003D4893" w:rsidRDefault="00765E8A" w:rsidP="003D4893">
            <w:pPr>
              <w:pStyle w:val="BoxHeading"/>
              <w:rPr>
                <w:i/>
              </w:rPr>
            </w:pPr>
            <w:r w:rsidRPr="003D4893">
              <w:rPr>
                <w:i/>
              </w:rPr>
              <w:t>Example 4</w:t>
            </w:r>
          </w:p>
          <w:p w14:paraId="2B54BB57" w14:textId="5EE273D6" w:rsidR="00765E8A" w:rsidRPr="00E712B1" w:rsidRDefault="00765E8A" w:rsidP="003D4893">
            <w:pPr>
              <w:pStyle w:val="BoxText"/>
            </w:pPr>
            <w:r>
              <w:t>In 2012</w:t>
            </w:r>
            <w:r w:rsidR="00455542">
              <w:noBreakHyphen/>
            </w:r>
            <w:r>
              <w:t>13</w:t>
            </w:r>
            <w:r w:rsidR="00016F6E">
              <w:t>,</w:t>
            </w:r>
            <w:r w:rsidRPr="00E712B1">
              <w:t xml:space="preserve"> NSW Fair Trading issued two public warnings urging the public not to deal with</w:t>
            </w:r>
            <w:r w:rsidR="00F27B90">
              <w:t xml:space="preserve"> </w:t>
            </w:r>
            <w:r w:rsidRPr="00E712B1">
              <w:t xml:space="preserve">Bulk </w:t>
            </w:r>
            <w:r w:rsidRPr="003D4893">
              <w:t>Imports</w:t>
            </w:r>
            <w:r w:rsidRPr="00E712B1">
              <w:t xml:space="preserve"> &amp; Exports Pty Ltd</w:t>
            </w:r>
            <w:r w:rsidR="00810AE8">
              <w:t xml:space="preserve"> and its director</w:t>
            </w:r>
            <w:r w:rsidRPr="00E712B1">
              <w:t>.</w:t>
            </w:r>
          </w:p>
          <w:p w14:paraId="2B54BB58" w14:textId="77777777" w:rsidR="00765E8A" w:rsidRDefault="00765E8A" w:rsidP="003D4893">
            <w:pPr>
              <w:pStyle w:val="BoxText"/>
            </w:pPr>
            <w:r w:rsidRPr="00E712B1">
              <w:t>On 7 June 2013, NSW Fair Trading issued a public warning in relation to the trader’s failure to supply products, supply</w:t>
            </w:r>
            <w:r w:rsidR="00B20BE6">
              <w:t>ing</w:t>
            </w:r>
            <w:r w:rsidRPr="00E712B1">
              <w:t xml:space="preserve"> products that were not of acceptable quality, fail</w:t>
            </w:r>
            <w:r w:rsidR="00B20BE6">
              <w:t>ure</w:t>
            </w:r>
            <w:r w:rsidRPr="00E712B1">
              <w:t xml:space="preserve"> to honour warranties and fail</w:t>
            </w:r>
            <w:r w:rsidR="00B20BE6">
              <w:t>ure</w:t>
            </w:r>
            <w:r w:rsidRPr="00E712B1">
              <w:t xml:space="preserve"> to be contactable by consumers seeking redress. The warning followed the decision by the Caravan and Camping Industry Association to expel the trader from the Association in December 2012. It also followed an additional 177 consumer complaints </w:t>
            </w:r>
            <w:r w:rsidR="00154073">
              <w:t>about</w:t>
            </w:r>
            <w:r w:rsidRPr="00E712B1">
              <w:t xml:space="preserve"> the trader since the issuing of a previous public warning in relation to his conduct.</w:t>
            </w:r>
          </w:p>
        </w:tc>
      </w:tr>
      <w:tr w:rsidR="00765E8A" w14:paraId="2B54BB66" w14:textId="77777777" w:rsidTr="00765E8A">
        <w:tc>
          <w:tcPr>
            <w:tcW w:w="9286" w:type="dxa"/>
          </w:tcPr>
          <w:p w14:paraId="2B54BB5B" w14:textId="77777777" w:rsidR="00EB66D7" w:rsidRPr="00E712B1" w:rsidRDefault="00EB66D7" w:rsidP="003D4893">
            <w:pPr>
              <w:pStyle w:val="BoxText"/>
            </w:pPr>
            <w:r w:rsidRPr="00E712B1">
              <w:lastRenderedPageBreak/>
              <w:t xml:space="preserve">NSW Fair Trading’s previous public warning </w:t>
            </w:r>
            <w:r>
              <w:t>about</w:t>
            </w:r>
            <w:r w:rsidRPr="00E712B1">
              <w:t xml:space="preserve"> the trader was issued in August 2012, following the execution of a search warrant of his commercial business premises by investigators. At that point 240 complaints and 55 enquiries had been received about the trader and his </w:t>
            </w:r>
            <w:r w:rsidRPr="003D4893">
              <w:t>companies</w:t>
            </w:r>
            <w:r w:rsidRPr="00E712B1">
              <w:t xml:space="preserve"> over a four year period. The Consumer Trader and Tenancy Tribunal (CTTT) had received 72 applications relating to the trader and his companies. </w:t>
            </w:r>
          </w:p>
          <w:p w14:paraId="2B54BB5C" w14:textId="77777777" w:rsidR="00EB66D7" w:rsidRDefault="00EB66D7" w:rsidP="003D4893">
            <w:pPr>
              <w:pStyle w:val="BoxText"/>
              <w:rPr>
                <w:rFonts w:ascii="Arial" w:hAnsi="Arial" w:cs="Arial"/>
                <w:b/>
                <w:color w:val="00673A"/>
                <w:szCs w:val="22"/>
              </w:rPr>
            </w:pPr>
            <w:r w:rsidRPr="00E712B1">
              <w:t>NSW Fair Trading is considering further legal action against the trader.</w:t>
            </w:r>
          </w:p>
          <w:p w14:paraId="2B54BB5D" w14:textId="77777777" w:rsidR="005C0E36" w:rsidRPr="003D4893" w:rsidRDefault="005C0E36" w:rsidP="003D4893">
            <w:pPr>
              <w:pStyle w:val="BoxHeading"/>
              <w:rPr>
                <w:i/>
              </w:rPr>
            </w:pPr>
            <w:r w:rsidRPr="003D4893">
              <w:rPr>
                <w:i/>
              </w:rPr>
              <w:t>Example 5</w:t>
            </w:r>
          </w:p>
          <w:p w14:paraId="2B54BB5E" w14:textId="765ABC40" w:rsidR="005C0E36" w:rsidRDefault="005C0E36" w:rsidP="003D4893">
            <w:pPr>
              <w:pStyle w:val="BoxText"/>
            </w:pPr>
            <w:r>
              <w:t xml:space="preserve">During 2012, South Australia’s Consumer and Business Services (CBS) recorded </w:t>
            </w:r>
            <w:r w:rsidRPr="00C355DA">
              <w:t xml:space="preserve">38 </w:t>
            </w:r>
            <w:r>
              <w:t>complaints against a company for failing to supply products</w:t>
            </w:r>
            <w:r w:rsidR="00455542">
              <w:t xml:space="preserve">. </w:t>
            </w:r>
            <w:r>
              <w:t>While 22 of those complaints had been successfully resolved through ‘charge back’ arrangements with financial institutions, the other 16 complaints had to be resolved through negotiations between CBS and the trader.</w:t>
            </w:r>
          </w:p>
          <w:p w14:paraId="2B54BB5F" w14:textId="7B538479" w:rsidR="005C0E36" w:rsidRPr="00B70D91" w:rsidRDefault="005C0E36" w:rsidP="003D4893">
            <w:pPr>
              <w:pStyle w:val="BoxText"/>
            </w:pPr>
            <w:r>
              <w:t>CBS successfully negotiate</w:t>
            </w:r>
            <w:r w:rsidR="005E1773">
              <w:t>d</w:t>
            </w:r>
            <w:r>
              <w:t xml:space="preserve"> a settlement with the then sole director of the company on behalf the complainants</w:t>
            </w:r>
            <w:r w:rsidR="00455542">
              <w:t xml:space="preserve">. </w:t>
            </w:r>
            <w:r>
              <w:t>The director made full restitution to all consumers who had outstanding complaints against the company.</w:t>
            </w:r>
          </w:p>
          <w:p w14:paraId="09EB619E" w14:textId="77777777" w:rsidR="00E270D0" w:rsidRDefault="00E270D0" w:rsidP="003D4893">
            <w:pPr>
              <w:pStyle w:val="BoxText"/>
            </w:pPr>
          </w:p>
          <w:p w14:paraId="0F4013C5" w14:textId="77777777" w:rsidR="00E270D0" w:rsidRDefault="00E270D0" w:rsidP="00E270D0">
            <w:pPr>
              <w:pStyle w:val="BoxHeading"/>
            </w:pPr>
            <w:r w:rsidRPr="00A772DF">
              <w:lastRenderedPageBreak/>
              <w:t>Case st</w:t>
            </w:r>
            <w:r>
              <w:t>udy 11</w:t>
            </w:r>
            <w:r w:rsidRPr="00A772DF">
              <w:t xml:space="preserve"> — </w:t>
            </w:r>
            <w:r w:rsidRPr="00097593">
              <w:t>(Continued)</w:t>
            </w:r>
          </w:p>
          <w:p w14:paraId="2B54BB60" w14:textId="20238F60" w:rsidR="00765E8A" w:rsidRDefault="00765E8A" w:rsidP="003D4893">
            <w:pPr>
              <w:pStyle w:val="BoxText"/>
            </w:pPr>
            <w:r>
              <w:t>After resolving the outstanding complaints, CBS became aware of another two complaints against the company</w:t>
            </w:r>
            <w:r w:rsidR="00455542">
              <w:t xml:space="preserve">. </w:t>
            </w:r>
            <w:r>
              <w:t>As those complaints occurred outside the period when the then director was associated with the company, CBS had to re</w:t>
            </w:r>
            <w:r w:rsidR="00455542">
              <w:noBreakHyphen/>
            </w:r>
            <w:r>
              <w:t>enter negotiations with the new director</w:t>
            </w:r>
            <w:r w:rsidR="00455542">
              <w:t xml:space="preserve">. </w:t>
            </w:r>
            <w:r>
              <w:t>Those negotiations revolved around securing the refund of deposit money paid by the consumers to the company.</w:t>
            </w:r>
          </w:p>
          <w:p w14:paraId="2B54BB61" w14:textId="1137BB28" w:rsidR="00765E8A" w:rsidRDefault="00765E8A" w:rsidP="003D4893">
            <w:pPr>
              <w:pStyle w:val="BoxText"/>
            </w:pPr>
            <w:r>
              <w:t xml:space="preserve">After protracted negotiations with the new director, CBS </w:t>
            </w:r>
            <w:r w:rsidR="005E1773">
              <w:t>obtained</w:t>
            </w:r>
            <w:r>
              <w:t xml:space="preserve"> full refunds for the two consumers</w:t>
            </w:r>
            <w:r w:rsidR="00455542">
              <w:t xml:space="preserve">. </w:t>
            </w:r>
            <w:r>
              <w:t>Through negotiations with the former and new directors, CBS recover</w:t>
            </w:r>
            <w:r w:rsidR="005E1773">
              <w:t>ed</w:t>
            </w:r>
            <w:r>
              <w:t xml:space="preserve"> over $14,500 of deposit money paid by consumers for goods and services not provided by the company.</w:t>
            </w:r>
          </w:p>
          <w:p w14:paraId="2B54BB62" w14:textId="67CC679C" w:rsidR="00765E8A" w:rsidRDefault="00765E8A" w:rsidP="003D4893">
            <w:pPr>
              <w:pStyle w:val="BoxText"/>
            </w:pPr>
            <w:r>
              <w:t>CBS offered the former director and current director an Enforceable Undertaking pursuant to s218 of the ACL, which both accepted</w:t>
            </w:r>
            <w:r w:rsidR="00455542">
              <w:t xml:space="preserve">. </w:t>
            </w:r>
            <w:r>
              <w:t>The South Australian Commissioner for Consumer Affairs accepted the signed undertakings and this matter is now closed.</w:t>
            </w:r>
          </w:p>
          <w:p w14:paraId="2B54BB63" w14:textId="77777777" w:rsidR="00452474" w:rsidRPr="003D4893" w:rsidRDefault="00EE2667" w:rsidP="003D4893">
            <w:pPr>
              <w:pStyle w:val="BoxHeading"/>
              <w:rPr>
                <w:i/>
              </w:rPr>
            </w:pPr>
            <w:r w:rsidRPr="003D4893">
              <w:rPr>
                <w:i/>
              </w:rPr>
              <w:t>Example 6</w:t>
            </w:r>
          </w:p>
          <w:p w14:paraId="2B54BB64" w14:textId="639A59CE" w:rsidR="00EE2667" w:rsidRDefault="00EE2667" w:rsidP="003D4893">
            <w:pPr>
              <w:pStyle w:val="BoxText"/>
            </w:pPr>
            <w:r>
              <w:t>In May 2013, C</w:t>
            </w:r>
            <w:r w:rsidR="009D7A5F">
              <w:t xml:space="preserve">onsumer </w:t>
            </w:r>
            <w:r>
              <w:t>A</w:t>
            </w:r>
            <w:r w:rsidR="009D7A5F">
              <w:t xml:space="preserve">ffairs </w:t>
            </w:r>
            <w:r>
              <w:t>V</w:t>
            </w:r>
            <w:r w:rsidR="009D7A5F">
              <w:t>ictoria (CAV)</w:t>
            </w:r>
            <w:r>
              <w:t xml:space="preserve"> was successful in its action against Hair Science International Pty Ltd, which was ordered to pay $100,000 for engaging in misleading and deceptive conduct</w:t>
            </w:r>
            <w:r w:rsidR="00455542">
              <w:t xml:space="preserve">. </w:t>
            </w:r>
            <w:r>
              <w:t>Hair Science International Pty Ltd claimed that it could regrow hair, when clients were actually given a hairpiece</w:t>
            </w:r>
            <w:r w:rsidR="00455542">
              <w:t xml:space="preserve">. </w:t>
            </w:r>
            <w:r>
              <w:t>Hair Science International Pty Ltd made representations that it could replicate hair from a client, grow it on synthetic liquid skin and then attach this ‘hair’ to the client’s scalp</w:t>
            </w:r>
            <w:r w:rsidR="00455542">
              <w:t xml:space="preserve">. </w:t>
            </w:r>
          </w:p>
          <w:p w14:paraId="2B54BB65" w14:textId="3E43DA1D" w:rsidR="00EE2667" w:rsidRDefault="00101D80" w:rsidP="003D4893">
            <w:pPr>
              <w:pStyle w:val="BoxText"/>
            </w:pPr>
            <w:r>
              <w:t>Consumers claimed that after paying $6,000 to $8,000, Hair Science gave them a poor</w:t>
            </w:r>
            <w:r w:rsidR="00455542">
              <w:noBreakHyphen/>
            </w:r>
            <w:r>
              <w:t>quality hair piece that was glued to their head</w:t>
            </w:r>
            <w:r w:rsidR="00455542">
              <w:t xml:space="preserve">. </w:t>
            </w:r>
            <w:r>
              <w:t xml:space="preserve">The court declared that Hair Science International Pty Ltd, breached the ACL (and the </w:t>
            </w:r>
            <w:r>
              <w:rPr>
                <w:i/>
              </w:rPr>
              <w:t>Fair Trading Act</w:t>
            </w:r>
            <w:r>
              <w:t xml:space="preserve"> </w:t>
            </w:r>
            <w:r w:rsidRPr="00AD45D4">
              <w:rPr>
                <w:i/>
              </w:rPr>
              <w:t>1999 (Vic)</w:t>
            </w:r>
            <w:r w:rsidRPr="006D283E">
              <w:t>)</w:t>
            </w:r>
            <w:r>
              <w:t xml:space="preserve"> </w:t>
            </w:r>
            <w:r w:rsidRPr="00AD45D4">
              <w:t xml:space="preserve">by engaging in </w:t>
            </w:r>
            <w:r w:rsidRPr="003D4893">
              <w:t>misleading</w:t>
            </w:r>
            <w:r w:rsidRPr="00AD45D4">
              <w:t xml:space="preserve"> and deceptive conduct or conduct likely to mislead or deceive</w:t>
            </w:r>
            <w:r w:rsidR="00455542">
              <w:t xml:space="preserve">. </w:t>
            </w:r>
          </w:p>
        </w:tc>
      </w:tr>
      <w:tr w:rsidR="004026A1" w14:paraId="2B54BB6F" w14:textId="77777777" w:rsidTr="004026A1">
        <w:tc>
          <w:tcPr>
            <w:tcW w:w="9286" w:type="dxa"/>
          </w:tcPr>
          <w:p w14:paraId="2B54BB68" w14:textId="3AD6CCF1" w:rsidR="00EB66D7" w:rsidRDefault="00EB66D7" w:rsidP="003D4893">
            <w:pPr>
              <w:pStyle w:val="BoxText"/>
            </w:pPr>
            <w:r w:rsidRPr="00AD45D4">
              <w:lastRenderedPageBreak/>
              <w:t>As well as the $100,000 penalty</w:t>
            </w:r>
            <w:r>
              <w:t>,</w:t>
            </w:r>
            <w:r w:rsidRPr="00AD45D4">
              <w:t xml:space="preserve"> the court imposed injunctions restraining the company (including its employees and agents) from making false or misleading representations</w:t>
            </w:r>
            <w:r w:rsidR="00455542">
              <w:t xml:space="preserve">. </w:t>
            </w:r>
          </w:p>
          <w:p w14:paraId="2B54BB69" w14:textId="77777777" w:rsidR="00EB66D7" w:rsidRDefault="00EB66D7" w:rsidP="003D4893">
            <w:pPr>
              <w:pStyle w:val="BoxText"/>
              <w:rPr>
                <w:rFonts w:ascii="Arial" w:hAnsi="Arial" w:cs="Arial"/>
                <w:b/>
                <w:color w:val="00673A"/>
                <w:szCs w:val="22"/>
              </w:rPr>
            </w:pPr>
            <w:r w:rsidRPr="00AD45D4">
              <w:t>Hair Science International Pty Ltd was ordered to publish a public notice in the Herald Sun Newspaper and on its website detailing the court’s decision, and advise all clients of the details of the actual treatment when t</w:t>
            </w:r>
            <w:r>
              <w:t>hey entered into an agreement.</w:t>
            </w:r>
          </w:p>
          <w:p w14:paraId="2B54BB6A" w14:textId="77777777" w:rsidR="007047AC" w:rsidRPr="003D4893" w:rsidRDefault="007047AC" w:rsidP="003D4893">
            <w:pPr>
              <w:pStyle w:val="BoxHeading"/>
              <w:rPr>
                <w:i/>
              </w:rPr>
            </w:pPr>
            <w:r w:rsidRPr="003D4893">
              <w:rPr>
                <w:i/>
              </w:rPr>
              <w:t>Example 7</w:t>
            </w:r>
          </w:p>
          <w:p w14:paraId="2B54BB6B" w14:textId="3C89ACB9" w:rsidR="007047AC" w:rsidRDefault="007047AC" w:rsidP="003D4893">
            <w:pPr>
              <w:pStyle w:val="BoxText"/>
            </w:pPr>
            <w:r w:rsidRPr="0030640E">
              <w:t>In October 2012, ASIC was successful in a proceeding brought against one of Australia’s largest debt collection companies, ACM Group Limited (ACM)</w:t>
            </w:r>
            <w:r w:rsidR="00455542">
              <w:t xml:space="preserve">. </w:t>
            </w:r>
            <w:r w:rsidRPr="0030640E">
              <w:t>The Federal Court of Australia found that ACM harassed and coerced debtors in contravention of s12DJ of the ASIC Act and engaged in widespread and systemic misleading and deceptive conduct in contravention of s12DA of the ASIC Act when recovering money betwe</w:t>
            </w:r>
            <w:r>
              <w:t>en November 2008 and June 2010.</w:t>
            </w:r>
          </w:p>
          <w:p w14:paraId="2B54BB6C" w14:textId="7F58C987" w:rsidR="009B290C" w:rsidRDefault="007047AC" w:rsidP="003D4893">
            <w:pPr>
              <w:pStyle w:val="BoxText"/>
            </w:pPr>
            <w:r w:rsidRPr="0030640E">
              <w:t>ASIC presented to the Court 96 phone calls, mostly between ACM debt collectors and the debtors, and the ACM debt collector training manual that was in use at the relevant time as evidence of ACM’s conduct. The Court found, ‘the manual made it very plain that debtors should be threatened with litigation’ and that ACM persistently misled debtors by making references to le</w:t>
            </w:r>
            <w:r w:rsidR="009B290C">
              <w:t>gal proceedings and lawyers</w:t>
            </w:r>
            <w:r w:rsidR="00455542">
              <w:t xml:space="preserve">. </w:t>
            </w:r>
          </w:p>
          <w:p w14:paraId="35969C1A" w14:textId="77777777" w:rsidR="00E270D0" w:rsidRDefault="00E270D0" w:rsidP="003D4893">
            <w:pPr>
              <w:pStyle w:val="BoxText"/>
            </w:pPr>
          </w:p>
          <w:p w14:paraId="4F4FCA14" w14:textId="77777777" w:rsidR="00E270D0" w:rsidRDefault="00E270D0" w:rsidP="00E270D0">
            <w:pPr>
              <w:pStyle w:val="BoxHeading"/>
            </w:pPr>
            <w:r>
              <w:lastRenderedPageBreak/>
              <w:t>Case study 11</w:t>
            </w:r>
            <w:r w:rsidRPr="00A772DF">
              <w:t xml:space="preserve"> — </w:t>
            </w:r>
            <w:r w:rsidRPr="00097593">
              <w:t>(Continued)</w:t>
            </w:r>
          </w:p>
          <w:p w14:paraId="2B54BB6D" w14:textId="74D29FF7" w:rsidR="007047AC" w:rsidRPr="0030640E" w:rsidRDefault="007047AC" w:rsidP="003D4893">
            <w:pPr>
              <w:pStyle w:val="BoxText"/>
            </w:pPr>
            <w:r w:rsidRPr="0030640E">
              <w:t>The Court also found several instances of undue harassment or coercion, including: threats to contact friends, neighbours and/or the employer of debtors; a threat to have Sheriff’s officers attend a debtor's home or place of employment in a marked car; a threat to issue a warrant for a debtor’s arrest; a threat to take action that would result in a debtor’s taxi licence being revoked; and a threat to take action that would result in a debtor being unable to travel overseas.</w:t>
            </w:r>
          </w:p>
          <w:p w14:paraId="2B54BB6E" w14:textId="77777777" w:rsidR="004026A1" w:rsidRDefault="007047AC" w:rsidP="003D4893">
            <w:pPr>
              <w:pStyle w:val="BoxText"/>
            </w:pPr>
            <w:r w:rsidRPr="0030640E">
              <w:t>The Court made declarations of misconduct and granted injunctive relief restraining ACM from future similar conduct.</w:t>
            </w:r>
          </w:p>
        </w:tc>
      </w:tr>
      <w:tr w:rsidR="00715607" w14:paraId="2B54BB7E" w14:textId="77777777" w:rsidTr="00715607">
        <w:tc>
          <w:tcPr>
            <w:tcW w:w="9286" w:type="dxa"/>
          </w:tcPr>
          <w:p w14:paraId="2B54BB73" w14:textId="77777777" w:rsidR="00715607" w:rsidRPr="003D4893" w:rsidRDefault="00715607" w:rsidP="003D4893">
            <w:pPr>
              <w:pStyle w:val="BoxHeading"/>
              <w:rPr>
                <w:i/>
              </w:rPr>
            </w:pPr>
            <w:bookmarkStart w:id="87" w:name="_Toc342299533"/>
            <w:bookmarkStart w:id="88" w:name="_Toc342381496"/>
            <w:r w:rsidRPr="003D4893">
              <w:rPr>
                <w:i/>
              </w:rPr>
              <w:lastRenderedPageBreak/>
              <w:t>Example 8</w:t>
            </w:r>
          </w:p>
          <w:p w14:paraId="2B54BB74" w14:textId="20CA73DB" w:rsidR="00715607" w:rsidRPr="00E92463" w:rsidRDefault="00715607" w:rsidP="003D4893">
            <w:pPr>
              <w:pStyle w:val="BoxText"/>
            </w:pPr>
            <w:r>
              <w:t xml:space="preserve">The breadth of enforcement outcomes achieved by Commonwealth, state and territory consumer agencies are enhanced by the range of enforcement and compliance tools available </w:t>
            </w:r>
            <w:r w:rsidRPr="003D4893">
              <w:t>under</w:t>
            </w:r>
            <w:r>
              <w:t xml:space="preserve"> the ACL. For example, highlights from the ACCC’s enforcement activities in the</w:t>
            </w:r>
            <w:r w:rsidRPr="00E92463">
              <w:t xml:space="preserve"> financial year 201</w:t>
            </w:r>
            <w:r>
              <w:t>2</w:t>
            </w:r>
            <w:r w:rsidR="00455542">
              <w:noBreakHyphen/>
            </w:r>
            <w:r w:rsidRPr="00E92463">
              <w:t>201</w:t>
            </w:r>
            <w:r>
              <w:t>3</w:t>
            </w:r>
            <w:r w:rsidRPr="00E92463">
              <w:t xml:space="preserve"> include</w:t>
            </w:r>
            <w:r>
              <w:t>d</w:t>
            </w:r>
            <w:r w:rsidRPr="00E92463">
              <w:t>:</w:t>
            </w:r>
          </w:p>
          <w:p w14:paraId="2B54BB75" w14:textId="77777777" w:rsidR="00715607" w:rsidRPr="001011D9" w:rsidRDefault="00715607" w:rsidP="003D4893">
            <w:pPr>
              <w:pStyle w:val="BoxBullet"/>
            </w:pPr>
            <w:r>
              <w:t>c</w:t>
            </w:r>
            <w:r w:rsidRPr="001011D9">
              <w:t>ivil pecuniary penalties totalling $11.13 million</w:t>
            </w:r>
            <w:r>
              <w:t xml:space="preserve">, </w:t>
            </w:r>
            <w:r w:rsidRPr="001011D9">
              <w:t xml:space="preserve">obtained in ACCC actions through the courts in </w:t>
            </w:r>
            <w:r>
              <w:t>15</w:t>
            </w:r>
            <w:r w:rsidRPr="001011D9">
              <w:t xml:space="preserve"> consumer protection and fair trading proceedings</w:t>
            </w:r>
            <w:r>
              <w:t>;</w:t>
            </w:r>
          </w:p>
          <w:p w14:paraId="2B54BB76" w14:textId="623032E9" w:rsidR="00715607" w:rsidRPr="001011D9" w:rsidRDefault="00715607" w:rsidP="003D4893">
            <w:pPr>
              <w:pStyle w:val="BoxBullet"/>
            </w:pPr>
            <w:r w:rsidRPr="001011D9">
              <w:t>integrated compliance and enforcement action in the door</w:t>
            </w:r>
            <w:r w:rsidR="00455542">
              <w:noBreakHyphen/>
            </w:r>
            <w:r w:rsidRPr="001011D9">
              <w:t>to</w:t>
            </w:r>
            <w:r w:rsidR="00455542">
              <w:noBreakHyphen/>
            </w:r>
            <w:r w:rsidRPr="001011D9">
              <w:t>door energy sector, resulting in significant ($2.75 million) penalties and substantial improvem</w:t>
            </w:r>
            <w:r>
              <w:t>ents in behaviour in the sector;</w:t>
            </w:r>
          </w:p>
          <w:p w14:paraId="2B54BB77" w14:textId="77777777" w:rsidR="00715607" w:rsidRPr="001011D9" w:rsidRDefault="00715607" w:rsidP="003D4893">
            <w:pPr>
              <w:pStyle w:val="BoxBullet"/>
            </w:pPr>
            <w:r w:rsidRPr="001011D9">
              <w:t>action against seven companies for unconscionable conduct, including companies targeting vulnerable and disadvantaged consumers with false</w:t>
            </w:r>
            <w:r>
              <w:t xml:space="preserve"> and misleading representations;</w:t>
            </w:r>
          </w:p>
          <w:p w14:paraId="2B54BB78" w14:textId="77777777" w:rsidR="00715607" w:rsidRPr="00EE2667" w:rsidRDefault="00715607" w:rsidP="003D4893">
            <w:pPr>
              <w:pStyle w:val="BoxBullet"/>
            </w:pPr>
            <w:r w:rsidRPr="001011D9">
              <w:t xml:space="preserve">a $1 million penalty to </w:t>
            </w:r>
            <w:r w:rsidRPr="004026A1">
              <w:t>Cotton On Kids Pty Ltd</w:t>
            </w:r>
            <w:r w:rsidRPr="001011D9">
              <w:t xml:space="preserve"> over the supply of unsafe children’s nightdresses and </w:t>
            </w:r>
            <w:r>
              <w:t>pyjamas, which sends</w:t>
            </w:r>
            <w:r w:rsidRPr="001011D9">
              <w:t xml:space="preserve"> a strong message to suppliers to ensure sa</w:t>
            </w:r>
            <w:r>
              <w:t>fe, correctly labelled products;</w:t>
            </w:r>
          </w:p>
          <w:p w14:paraId="2B54BB79" w14:textId="77777777" w:rsidR="00715607" w:rsidRDefault="00715607" w:rsidP="003D4893">
            <w:pPr>
              <w:pStyle w:val="BoxBullet"/>
            </w:pPr>
            <w:r w:rsidRPr="0059787A">
              <w:t>payment for 27 infringement notices with penalties of over $300 000 across 10 matters</w:t>
            </w:r>
            <w:r>
              <w:t>; and</w:t>
            </w:r>
          </w:p>
          <w:p w14:paraId="2B54BB7A" w14:textId="77777777" w:rsidR="00715607" w:rsidRDefault="00715607" w:rsidP="003D4893">
            <w:pPr>
              <w:pStyle w:val="BoxBullet"/>
            </w:pPr>
            <w:proofErr w:type="gramStart"/>
            <w:r>
              <w:t>the</w:t>
            </w:r>
            <w:proofErr w:type="gramEnd"/>
            <w:r>
              <w:t xml:space="preserve"> issue of </w:t>
            </w:r>
            <w:r w:rsidRPr="001011D9">
              <w:t>18 substantiation</w:t>
            </w:r>
            <w:r>
              <w:t xml:space="preserve"> notices.</w:t>
            </w:r>
          </w:p>
          <w:p w14:paraId="2B54BB7B" w14:textId="77777777" w:rsidR="00715607" w:rsidRDefault="00715607" w:rsidP="003D4893">
            <w:pPr>
              <w:pStyle w:val="BoxText"/>
            </w:pPr>
            <w:r w:rsidRPr="004026A1">
              <w:t xml:space="preserve">The ACCC </w:t>
            </w:r>
            <w:r w:rsidRPr="003D4893">
              <w:t>also</w:t>
            </w:r>
            <w:r w:rsidRPr="004026A1">
              <w:t xml:space="preserve"> continued its integrated approach to dealing with consumer guarantees including outreach and education, and the use of flagship proceedings. The ACCC instituted a number of separate cases in the Federal Court about alleged misrepresentations to consumer</w:t>
            </w:r>
            <w:r>
              <w:t>s</w:t>
            </w:r>
            <w:r w:rsidRPr="004026A1">
              <w:t xml:space="preserve"> about their consumers’ warranty and guarantee rights. Orders were subsequently made by the Federal Court in July 2013</w:t>
            </w:r>
            <w:r>
              <w:t xml:space="preserve"> in</w:t>
            </w:r>
            <w:r w:rsidRPr="004026A1">
              <w:t xml:space="preserve"> relation to Hewlett Packard Australia Pty Ltd; with separate proceedings against a number of Harvey Norman franchisees still before the courts.</w:t>
            </w:r>
          </w:p>
          <w:p w14:paraId="2B54BB7C" w14:textId="63A112AB" w:rsidR="00715607" w:rsidRDefault="00715607" w:rsidP="003D4893">
            <w:pPr>
              <w:pStyle w:val="BoxText"/>
            </w:pPr>
            <w:r w:rsidRPr="004026A1">
              <w:t xml:space="preserve">The ACCC commenced proceedings against </w:t>
            </w:r>
            <w:proofErr w:type="spellStart"/>
            <w:r w:rsidRPr="004026A1">
              <w:t>ByteCard</w:t>
            </w:r>
            <w:proofErr w:type="spellEnd"/>
            <w:r w:rsidRPr="004026A1">
              <w:t xml:space="preserve"> Pty</w:t>
            </w:r>
            <w:r>
              <w:t xml:space="preserve"> Ltd,</w:t>
            </w:r>
            <w:r w:rsidRPr="004026A1">
              <w:t xml:space="preserve"> trading as </w:t>
            </w:r>
            <w:proofErr w:type="spellStart"/>
            <w:r w:rsidRPr="004026A1">
              <w:t>Netspeed</w:t>
            </w:r>
            <w:proofErr w:type="spellEnd"/>
            <w:r w:rsidRPr="004026A1">
              <w:t xml:space="preserve"> Internet </w:t>
            </w:r>
            <w:r w:rsidRPr="003D4893">
              <w:t>Communications</w:t>
            </w:r>
            <w:r>
              <w:t>,</w:t>
            </w:r>
            <w:r w:rsidRPr="004026A1">
              <w:t xml:space="preserve"> marking the first legal proceedings by the ACCC based exclusively on the unfair contract terms provisions of the ACL</w:t>
            </w:r>
            <w:r w:rsidR="00455542">
              <w:t xml:space="preserve">. </w:t>
            </w:r>
            <w:r w:rsidRPr="004026A1">
              <w:t xml:space="preserve">In July 2013, the Federal Court declared that a number of clauses in </w:t>
            </w:r>
            <w:proofErr w:type="spellStart"/>
            <w:r w:rsidRPr="004026A1">
              <w:t>ByteCard</w:t>
            </w:r>
            <w:proofErr w:type="spellEnd"/>
            <w:r w:rsidRPr="004026A1">
              <w:t xml:space="preserve"> Pty </w:t>
            </w:r>
            <w:proofErr w:type="spellStart"/>
            <w:r w:rsidRPr="004026A1">
              <w:t>Lt</w:t>
            </w:r>
            <w:r>
              <w:t>d</w:t>
            </w:r>
            <w:r w:rsidRPr="004026A1">
              <w:t>’s</w:t>
            </w:r>
            <w:proofErr w:type="spellEnd"/>
            <w:r w:rsidRPr="004026A1">
              <w:t xml:space="preserve"> stan</w:t>
            </w:r>
            <w:r>
              <w:t>dard form consumer contracts we</w:t>
            </w:r>
            <w:r w:rsidRPr="004026A1">
              <w:t>re unfair and therefore void</w:t>
            </w:r>
            <w:r>
              <w:t>.</w:t>
            </w:r>
          </w:p>
          <w:p w14:paraId="2B54BB7D" w14:textId="38AF239E" w:rsidR="00715607" w:rsidRDefault="00715607" w:rsidP="003D4893">
            <w:pPr>
              <w:pStyle w:val="BoxText"/>
            </w:pPr>
            <w:r>
              <w:t>N</w:t>
            </w:r>
            <w:r w:rsidRPr="004026A1">
              <w:t>on</w:t>
            </w:r>
            <w:r w:rsidR="00455542">
              <w:noBreakHyphen/>
            </w:r>
            <w:r w:rsidRPr="004026A1">
              <w:t>party redress was</w:t>
            </w:r>
            <w:r>
              <w:t xml:space="preserve"> also</w:t>
            </w:r>
            <w:r w:rsidRPr="004026A1">
              <w:t xml:space="preserve"> sought in</w:t>
            </w:r>
            <w:r>
              <w:t xml:space="preserve"> relation to</w:t>
            </w:r>
            <w:r w:rsidRPr="004026A1">
              <w:t xml:space="preserve"> three matters includin</w:t>
            </w:r>
            <w:r>
              <w:t xml:space="preserve">g </w:t>
            </w:r>
            <w:proofErr w:type="spellStart"/>
            <w:r>
              <w:t>Sensaslim</w:t>
            </w:r>
            <w:proofErr w:type="spellEnd"/>
            <w:r>
              <w:t xml:space="preserve"> Australia Pty Ltd (i</w:t>
            </w:r>
            <w:r w:rsidRPr="004026A1">
              <w:t>n liquidation), Hewlett</w:t>
            </w:r>
            <w:r w:rsidR="00455542">
              <w:noBreakHyphen/>
            </w:r>
            <w:r w:rsidRPr="004026A1">
              <w:t xml:space="preserve">Packard Australia Pty Ltd </w:t>
            </w:r>
            <w:r>
              <w:t xml:space="preserve">and </w:t>
            </w:r>
            <w:proofErr w:type="spellStart"/>
            <w:r w:rsidRPr="004026A1">
              <w:t>DuluxGroup</w:t>
            </w:r>
            <w:proofErr w:type="spellEnd"/>
            <w:r w:rsidRPr="004026A1">
              <w:t xml:space="preserve"> Pty Ltd.</w:t>
            </w:r>
          </w:p>
        </w:tc>
      </w:tr>
    </w:tbl>
    <w:p w14:paraId="2B54BB81" w14:textId="77777777" w:rsidR="00EB66D7" w:rsidRDefault="00EB66D7" w:rsidP="00B70D91">
      <w:pPr>
        <w:pStyle w:val="Heading3"/>
      </w:pPr>
      <w:bookmarkStart w:id="89" w:name="_Toc370468070"/>
      <w:r>
        <w:lastRenderedPageBreak/>
        <w:t>Id</w:t>
      </w:r>
      <w:r w:rsidR="00E12396">
        <w:t>entifying and responding to emerging consumer issues</w:t>
      </w:r>
      <w:bookmarkEnd w:id="87"/>
      <w:bookmarkEnd w:id="88"/>
      <w:bookmarkEnd w:id="89"/>
    </w:p>
    <w:p w14:paraId="2B54BB82" w14:textId="4DB047FD" w:rsidR="0072594D" w:rsidRDefault="0072594D" w:rsidP="00B70D91">
      <w:r>
        <w:t>In 2012</w:t>
      </w:r>
      <w:r w:rsidR="00455542">
        <w:noBreakHyphen/>
      </w:r>
      <w:r>
        <w:t>13 CDRAC coordinated</w:t>
      </w:r>
      <w:r w:rsidR="00016F6E">
        <w:t xml:space="preserve"> Commonwealth, state and territory consumer</w:t>
      </w:r>
      <w:r>
        <w:t xml:space="preserve"> agencies’ consideration of a range of other emerging issues including:</w:t>
      </w:r>
    </w:p>
    <w:p w14:paraId="2B54BB83" w14:textId="77777777" w:rsidR="0072594D" w:rsidRDefault="0072594D" w:rsidP="0072594D">
      <w:pPr>
        <w:pStyle w:val="Bullet"/>
      </w:pPr>
      <w:r>
        <w:t>the interaction of extended warranties and consumers’ rights under the ACL;</w:t>
      </w:r>
    </w:p>
    <w:p w14:paraId="2B54BB84" w14:textId="77777777" w:rsidR="0072594D" w:rsidRDefault="0072594D" w:rsidP="0072594D">
      <w:pPr>
        <w:pStyle w:val="Bullet"/>
      </w:pPr>
      <w:r w:rsidRPr="00235FE9">
        <w:t>misleading or deceptive conduct in online reviews or expert testimonials</w:t>
      </w:r>
      <w:r>
        <w:t>;</w:t>
      </w:r>
    </w:p>
    <w:p w14:paraId="2B54BB85" w14:textId="77777777" w:rsidR="0072594D" w:rsidRDefault="0072594D" w:rsidP="0072594D">
      <w:pPr>
        <w:pStyle w:val="Bullet"/>
      </w:pPr>
      <w:r>
        <w:t>c</w:t>
      </w:r>
      <w:r w:rsidRPr="00235FE9">
        <w:t>redence claims particularly in relation to food</w:t>
      </w:r>
      <w:r>
        <w:t>;</w:t>
      </w:r>
    </w:p>
    <w:p w14:paraId="2B54BB86" w14:textId="77777777" w:rsidR="0072594D" w:rsidRDefault="0072594D" w:rsidP="0072594D">
      <w:pPr>
        <w:pStyle w:val="Bullet"/>
      </w:pPr>
      <w:r w:rsidRPr="00235FE9">
        <w:t>door to door selling tactics in the energy sector</w:t>
      </w:r>
      <w:r>
        <w:t>; and</w:t>
      </w:r>
    </w:p>
    <w:p w14:paraId="2B54BB87" w14:textId="77777777" w:rsidR="0072594D" w:rsidRPr="005E2E1C" w:rsidRDefault="0072594D" w:rsidP="0072594D">
      <w:pPr>
        <w:pStyle w:val="Bullet"/>
        <w:rPr>
          <w:color w:val="auto"/>
        </w:rPr>
      </w:pPr>
      <w:proofErr w:type="gramStart"/>
      <w:r w:rsidRPr="005E2E1C">
        <w:rPr>
          <w:color w:val="auto"/>
        </w:rPr>
        <w:t>consumer</w:t>
      </w:r>
      <w:proofErr w:type="gramEnd"/>
      <w:r w:rsidRPr="005E2E1C">
        <w:rPr>
          <w:color w:val="auto"/>
        </w:rPr>
        <w:t xml:space="preserve"> protection issues in Indigenous communities.</w:t>
      </w:r>
    </w:p>
    <w:p w14:paraId="2B54BB88" w14:textId="77777777" w:rsidR="00423C1D" w:rsidRPr="005E2E1C" w:rsidRDefault="00DE3A0B" w:rsidP="00DE3A0B">
      <w:pPr>
        <w:rPr>
          <w:color w:val="auto"/>
        </w:rPr>
      </w:pPr>
      <w:r w:rsidRPr="005E2E1C">
        <w:rPr>
          <w:color w:val="auto"/>
        </w:rPr>
        <w:t>ACL regulators, through CDRAC, have established a national working party on traders using online false or misleading testimonials or reviews to promote their business. Some research suggests around 70</w:t>
      </w:r>
      <w:r w:rsidR="005E2E1C" w:rsidRPr="005E2E1C">
        <w:rPr>
          <w:color w:val="auto"/>
        </w:rPr>
        <w:t xml:space="preserve"> per cent</w:t>
      </w:r>
      <w:r w:rsidRPr="005E2E1C">
        <w:rPr>
          <w:color w:val="auto"/>
        </w:rPr>
        <w:t xml:space="preserve"> of Australian consumers consider reviews and testimonials before purchasing goods or services.</w:t>
      </w:r>
    </w:p>
    <w:p w14:paraId="2B54BB89" w14:textId="22DDA7BC" w:rsidR="00DE3A0B" w:rsidRDefault="00DE3A0B" w:rsidP="00DE3A0B">
      <w:pPr>
        <w:rPr>
          <w:color w:val="auto"/>
        </w:rPr>
      </w:pPr>
      <w:r w:rsidRPr="005E2E1C">
        <w:rPr>
          <w:color w:val="auto"/>
        </w:rPr>
        <w:t>Regulators are deepening their knowledge of the way in which traders use fake testimonials as a promotional tool, documenting research and lessons learned through the CDRAC forum. This type of conduct may be significantly under</w:t>
      </w:r>
      <w:r w:rsidR="00455542">
        <w:rPr>
          <w:color w:val="auto"/>
        </w:rPr>
        <w:noBreakHyphen/>
      </w:r>
      <w:r w:rsidRPr="005E2E1C">
        <w:rPr>
          <w:color w:val="auto"/>
        </w:rPr>
        <w:t>reported to regulator</w:t>
      </w:r>
      <w:r w:rsidR="005E2E1C" w:rsidRPr="005E2E1C">
        <w:rPr>
          <w:color w:val="auto"/>
        </w:rPr>
        <w:t>s given it is difficult for consumers to discern the accuracy of</w:t>
      </w:r>
      <w:r w:rsidRPr="005E2E1C">
        <w:rPr>
          <w:color w:val="auto"/>
        </w:rPr>
        <w:t xml:space="preserve"> testimonial</w:t>
      </w:r>
      <w:r w:rsidR="005E2E1C" w:rsidRPr="005E2E1C">
        <w:rPr>
          <w:color w:val="auto"/>
        </w:rPr>
        <w:t>s</w:t>
      </w:r>
      <w:r w:rsidRPr="005E2E1C">
        <w:rPr>
          <w:color w:val="auto"/>
        </w:rPr>
        <w:t>. CDRAC intends to identify traders engaging in this type of conduct and take enforcement action where appropriate</w:t>
      </w:r>
      <w:r w:rsidR="00455542">
        <w:rPr>
          <w:color w:val="auto"/>
        </w:rPr>
        <w:t xml:space="preserve">. </w:t>
      </w:r>
    </w:p>
    <w:p w14:paraId="2B54BB8A" w14:textId="44169CA3" w:rsidR="00357AA7" w:rsidRDefault="00E12396" w:rsidP="004A05A9">
      <w:pPr>
        <w:rPr>
          <w:rFonts w:cs="Arial"/>
        </w:rPr>
      </w:pPr>
      <w:r>
        <w:t>CDRAC responded to growing concerns in relation to country</w:t>
      </w:r>
      <w:r w:rsidR="00455542">
        <w:noBreakHyphen/>
      </w:r>
      <w:r>
        <w:t>of</w:t>
      </w:r>
      <w:r w:rsidR="00455542">
        <w:noBreakHyphen/>
      </w:r>
      <w:r>
        <w:t>origin labelling of food and the labelling, quality and grade of olive oil supplied in Australia, resulting in the establishment of two national complia</w:t>
      </w:r>
      <w:r w:rsidR="00ED6070">
        <w:t>nce and enforcement operations</w:t>
      </w:r>
      <w:r w:rsidR="00455542">
        <w:t xml:space="preserve">. </w:t>
      </w:r>
      <w:r>
        <w:t>The operations fostered close working relationships between ACL regulators and food regulators</w:t>
      </w:r>
      <w:r w:rsidR="00455542">
        <w:t xml:space="preserve">. </w:t>
      </w:r>
      <w:r>
        <w:t>It also demonstrated the importance of integration and cooperation between the policy, education and compliance functions within the ACL network</w:t>
      </w:r>
      <w:r w:rsidR="00455542">
        <w:t xml:space="preserve">. </w:t>
      </w:r>
      <w:r>
        <w:t xml:space="preserve">Finally it successfully demonstrated the capacity of the ACL to deal with concerns in a specific market, such as the olive oil </w:t>
      </w:r>
      <w:r w:rsidR="001910EF">
        <w:t>industry</w:t>
      </w:r>
      <w:r>
        <w:t>, without the need to mandate a</w:t>
      </w:r>
      <w:r w:rsidR="00235FE9">
        <w:t>n existing voluntary standard</w:t>
      </w:r>
      <w:r w:rsidR="00E06E7A">
        <w:t xml:space="preserve"> (see Case study 1</w:t>
      </w:r>
      <w:r w:rsidR="009A4C04">
        <w:t>2</w:t>
      </w:r>
      <w:r w:rsidR="00E06E7A">
        <w:t>)</w:t>
      </w:r>
      <w:r w:rsidR="00455542">
        <w:t xml:space="preserve">. </w:t>
      </w:r>
      <w:r w:rsidR="00CB6748">
        <w:t>R</w:t>
      </w:r>
      <w:r w:rsidR="00357AA7">
        <w:rPr>
          <w:color w:val="auto"/>
        </w:rPr>
        <w:t xml:space="preserve">egulators </w:t>
      </w:r>
      <w:r w:rsidR="00CB6748">
        <w:rPr>
          <w:color w:val="auto"/>
        </w:rPr>
        <w:t xml:space="preserve">also </w:t>
      </w:r>
      <w:r w:rsidR="00357AA7">
        <w:rPr>
          <w:color w:val="auto"/>
        </w:rPr>
        <w:t xml:space="preserve">responded to concerns about credence claims made in relation to food products including in relation to </w:t>
      </w:r>
      <w:r w:rsidR="00357AA7" w:rsidRPr="00D555FF">
        <w:rPr>
          <w:rFonts w:cs="Arial"/>
        </w:rPr>
        <w:t>where</w:t>
      </w:r>
      <w:r w:rsidR="00357AA7">
        <w:rPr>
          <w:rFonts w:cs="Arial"/>
        </w:rPr>
        <w:t xml:space="preserve"> and how </w:t>
      </w:r>
      <w:r w:rsidR="001D16FC">
        <w:rPr>
          <w:rFonts w:cs="Arial"/>
        </w:rPr>
        <w:t>they</w:t>
      </w:r>
      <w:r w:rsidR="00357AA7" w:rsidRPr="00D555FF">
        <w:rPr>
          <w:rFonts w:cs="Arial"/>
        </w:rPr>
        <w:t xml:space="preserve"> </w:t>
      </w:r>
      <w:r w:rsidR="001D16FC">
        <w:rPr>
          <w:rFonts w:cs="Arial"/>
        </w:rPr>
        <w:t>are</w:t>
      </w:r>
      <w:r w:rsidR="00357AA7" w:rsidRPr="00D555FF">
        <w:rPr>
          <w:rFonts w:cs="Arial"/>
        </w:rPr>
        <w:t xml:space="preserve"> made, grown or produced</w:t>
      </w:r>
      <w:r w:rsidR="007746DB">
        <w:rPr>
          <w:rFonts w:cs="Arial"/>
        </w:rPr>
        <w:t xml:space="preserve"> (see Case study 1</w:t>
      </w:r>
      <w:r w:rsidR="009A4C04">
        <w:rPr>
          <w:rFonts w:cs="Arial"/>
        </w:rPr>
        <w:t>3</w:t>
      </w:r>
      <w:r w:rsidR="00357AA7">
        <w:rPr>
          <w:rFonts w:cs="Arial"/>
        </w:rPr>
        <w:t>)</w:t>
      </w:r>
      <w:r w:rsidR="00357AA7" w:rsidRPr="00D555FF">
        <w:rPr>
          <w:rFonts w:cs="Arial"/>
        </w:rPr>
        <w:t>.</w:t>
      </w:r>
    </w:p>
    <w:p w14:paraId="2B54BB8B" w14:textId="17449E50" w:rsidR="00423C1D" w:rsidRDefault="00423C1D" w:rsidP="00B70D91">
      <w:pPr>
        <w:spacing w:after="120"/>
        <w:rPr>
          <w:rFonts w:cs="Arial"/>
        </w:rPr>
      </w:pPr>
      <w:r>
        <w:t>Consumer agencies also responded to door</w:t>
      </w:r>
      <w:r w:rsidR="00455542">
        <w:noBreakHyphen/>
      </w:r>
      <w:r>
        <w:t>to</w:t>
      </w:r>
      <w:r w:rsidR="00455542">
        <w:noBreakHyphen/>
      </w:r>
      <w:r>
        <w:t xml:space="preserve">door selling practices in the energy sector in response to the large number of complaints and the considerable detriment caused by the conduct of some salespeople at the door. </w:t>
      </w:r>
      <w:r>
        <w:rPr>
          <w:rFonts w:cs="Arial"/>
        </w:rPr>
        <w:t xml:space="preserve">Complaints </w:t>
      </w:r>
      <w:r w:rsidRPr="00D555FF">
        <w:rPr>
          <w:rFonts w:cs="Arial"/>
        </w:rPr>
        <w:t>regarding door</w:t>
      </w:r>
      <w:r w:rsidR="00455542">
        <w:rPr>
          <w:rFonts w:cs="Arial"/>
        </w:rPr>
        <w:noBreakHyphen/>
      </w:r>
      <w:r w:rsidRPr="00D555FF">
        <w:rPr>
          <w:rFonts w:cs="Arial"/>
        </w:rPr>
        <w:t>to</w:t>
      </w:r>
      <w:r w:rsidR="00455542">
        <w:rPr>
          <w:rFonts w:cs="Arial"/>
        </w:rPr>
        <w:noBreakHyphen/>
      </w:r>
      <w:r w:rsidRPr="00D555FF">
        <w:rPr>
          <w:rFonts w:cs="Arial"/>
        </w:rPr>
        <w:t xml:space="preserve">door sales practices included misleading marketing, pressure sales, transfer of accounts between retailers without customer consent, and breaches of the unsolicited sales provisions of the </w:t>
      </w:r>
      <w:r>
        <w:rPr>
          <w:rFonts w:cs="Arial"/>
        </w:rPr>
        <w:t>ACL</w:t>
      </w:r>
      <w:r w:rsidR="00455542">
        <w:rPr>
          <w:rFonts w:cs="Arial"/>
        </w:rPr>
        <w:t xml:space="preserve">. </w:t>
      </w:r>
      <w:r>
        <w:rPr>
          <w:rFonts w:cs="Arial"/>
        </w:rPr>
        <w:t>Door</w:t>
      </w:r>
      <w:r w:rsidR="00455542">
        <w:rPr>
          <w:rFonts w:cs="Arial"/>
        </w:rPr>
        <w:noBreakHyphen/>
      </w:r>
      <w:r>
        <w:rPr>
          <w:rFonts w:cs="Arial"/>
        </w:rPr>
        <w:t>to</w:t>
      </w:r>
      <w:r w:rsidR="00455542">
        <w:rPr>
          <w:rFonts w:cs="Arial"/>
        </w:rPr>
        <w:noBreakHyphen/>
      </w:r>
      <w:r>
        <w:rPr>
          <w:rFonts w:cs="Arial"/>
        </w:rPr>
        <w:t>door selling more broadly remains an ongoing concern for cons</w:t>
      </w:r>
      <w:r w:rsidR="007746DB">
        <w:rPr>
          <w:rFonts w:cs="Arial"/>
        </w:rPr>
        <w:t xml:space="preserve">umer agencies (see Case study </w:t>
      </w:r>
      <w:r w:rsidR="009A4C04">
        <w:rPr>
          <w:rFonts w:cs="Arial"/>
        </w:rPr>
        <w:t>14</w:t>
      </w:r>
      <w:r>
        <w:rPr>
          <w:rFonts w:cs="Arial"/>
        </w:rPr>
        <w:t>).</w:t>
      </w:r>
    </w:p>
    <w:p w14:paraId="2B54BB8C" w14:textId="77777777" w:rsidR="00EE2667" w:rsidRPr="008B2A66" w:rsidRDefault="00357AA7" w:rsidP="00B70D91">
      <w:pPr>
        <w:spacing w:after="0" w:line="240" w:lineRule="auto"/>
        <w:rPr>
          <w:rFonts w:cs="Arial"/>
        </w:rPr>
      </w:pPr>
      <w:r>
        <w:rPr>
          <w:rFonts w:cs="Arial"/>
        </w:rPr>
        <w:br w:type="page"/>
      </w:r>
    </w:p>
    <w:tbl>
      <w:tblPr>
        <w:tblStyle w:val="TableGrid"/>
        <w:tblW w:w="0" w:type="auto"/>
        <w:tblLook w:val="04A0" w:firstRow="1" w:lastRow="0" w:firstColumn="1" w:lastColumn="0" w:noHBand="0" w:noVBand="1"/>
      </w:tblPr>
      <w:tblGrid>
        <w:gridCol w:w="9286"/>
      </w:tblGrid>
      <w:tr w:rsidR="004A05A9" w14:paraId="2B54BB94" w14:textId="77777777" w:rsidTr="004A05A9">
        <w:tc>
          <w:tcPr>
            <w:tcW w:w="9286" w:type="dxa"/>
          </w:tcPr>
          <w:p w14:paraId="2B54BB8D" w14:textId="6AA07AC8" w:rsidR="00357AA7" w:rsidRPr="00E12396" w:rsidRDefault="00357AA7" w:rsidP="003D4893">
            <w:pPr>
              <w:pStyle w:val="BoxHeading"/>
            </w:pPr>
            <w:r w:rsidRPr="00E12396">
              <w:lastRenderedPageBreak/>
              <w:t xml:space="preserve">Case study </w:t>
            </w:r>
            <w:r w:rsidR="007746DB">
              <w:t>1</w:t>
            </w:r>
            <w:r w:rsidR="009A4C04">
              <w:t>2</w:t>
            </w:r>
            <w:r w:rsidRPr="00E12396">
              <w:t xml:space="preserve"> — Olive </w:t>
            </w:r>
            <w:r>
              <w:t>o</w:t>
            </w:r>
            <w:r w:rsidRPr="00E12396">
              <w:t xml:space="preserve">il </w:t>
            </w:r>
            <w:r>
              <w:t>r</w:t>
            </w:r>
            <w:r w:rsidRPr="00E12396">
              <w:t xml:space="preserve">epresentations and </w:t>
            </w:r>
            <w:r>
              <w:t>country</w:t>
            </w:r>
            <w:r w:rsidR="00455542">
              <w:noBreakHyphen/>
            </w:r>
            <w:r w:rsidRPr="00E12396">
              <w:t>of</w:t>
            </w:r>
            <w:r w:rsidR="00455542">
              <w:noBreakHyphen/>
            </w:r>
            <w:r>
              <w:t>origin l</w:t>
            </w:r>
            <w:r w:rsidRPr="00E12396">
              <w:t xml:space="preserve">abelling on </w:t>
            </w:r>
            <w:r>
              <w:t>f</w:t>
            </w:r>
            <w:r w:rsidRPr="00E12396">
              <w:t>ood</w:t>
            </w:r>
          </w:p>
          <w:p w14:paraId="2B54BB8E" w14:textId="07B8C690" w:rsidR="00357AA7" w:rsidRDefault="00357AA7" w:rsidP="003D4893">
            <w:pPr>
              <w:pStyle w:val="BoxText"/>
            </w:pPr>
            <w:r>
              <w:t>In July 2012, all Australian Consumer Affairs Ministers agreed to national compliance and enforcement activities on country</w:t>
            </w:r>
            <w:r w:rsidR="00455542">
              <w:noBreakHyphen/>
            </w:r>
            <w:r>
              <w:t>of</w:t>
            </w:r>
            <w:r w:rsidR="00455542">
              <w:noBreakHyphen/>
            </w:r>
            <w:r>
              <w:t xml:space="preserve">origin labelling of food (Operation Cool) and the labelling, quality and grade of olive oil supplied in Australia (Operation Sol). </w:t>
            </w:r>
          </w:p>
          <w:p w14:paraId="2B54BB8F" w14:textId="46E493E1" w:rsidR="00357AA7" w:rsidRDefault="00357AA7" w:rsidP="003D4893">
            <w:pPr>
              <w:pStyle w:val="BoxText"/>
            </w:pPr>
            <w:r>
              <w:t>Both Operations were run concurrently, with the regulators initially surveying representations on 354 olive oil products, 42 fruit cup products, 21 frozen pea products, and 182 coffee products supplied by supermarkets, gourmet food shops and market stalls across five states. During the second phase, traders were issued with 54 substantiation notices, testing representations made on 94 olive oil products, 11 fruit cup products, 11 frozen pea products and 14 coffee products</w:t>
            </w:r>
            <w:r w:rsidR="00455542">
              <w:t xml:space="preserve">. </w:t>
            </w:r>
            <w:r>
              <w:t xml:space="preserve">In doing so, regulators worked with the food regulator in NSW. </w:t>
            </w:r>
          </w:p>
          <w:p w14:paraId="2B54BB90" w14:textId="79840F1A" w:rsidR="00357AA7" w:rsidRDefault="00357AA7" w:rsidP="003D4893">
            <w:pPr>
              <w:pStyle w:val="BoxText"/>
            </w:pPr>
            <w:r>
              <w:t>A third phase that applied to olive oil products saw a small number of products chemically tested against voluntary industry standards, involving the ACL</w:t>
            </w:r>
            <w:r w:rsidR="00455542">
              <w:t xml:space="preserve">. </w:t>
            </w:r>
            <w:r>
              <w:t>By June 2013, ACL regulators had identified potentially false representations by nine traders producing olive oil products and three traders producing coffee products.</w:t>
            </w:r>
          </w:p>
          <w:p w14:paraId="2B54BB91" w14:textId="77777777" w:rsidR="00357AA7" w:rsidRDefault="00357AA7" w:rsidP="003D4893">
            <w:pPr>
              <w:pStyle w:val="BoxText"/>
            </w:pPr>
            <w:r>
              <w:t xml:space="preserve">The ACL regulators coordinated a large number of simultaneous compliance actions and evaluated trader conduct nationally resulting in consistent enforcement outcomes. </w:t>
            </w:r>
          </w:p>
          <w:p w14:paraId="2B54BB92" w14:textId="4469D586" w:rsidR="00357AA7" w:rsidRDefault="00357AA7" w:rsidP="003D4893">
            <w:pPr>
              <w:pStyle w:val="BoxText"/>
            </w:pPr>
            <w:r>
              <w:t>The work from both Operation Cool and Operation Sol suggested that there is minimal evidence of consumer detriment in the market in terms of systematic misrepresentation on the origin of food in Australia or in respect of olive oil</w:t>
            </w:r>
            <w:r w:rsidR="00455542">
              <w:t xml:space="preserve">. </w:t>
            </w:r>
            <w:r>
              <w:t>Furthermore, where issues have been identified, the existing provisions under the ACL are considered effective in adequately addressing misleading or deceptive labelling, with consumer agencies taking enforcement action against non</w:t>
            </w:r>
            <w:r w:rsidR="00455542">
              <w:noBreakHyphen/>
            </w:r>
            <w:r>
              <w:t xml:space="preserve">compliant traders. </w:t>
            </w:r>
          </w:p>
          <w:p w14:paraId="2B54BB93" w14:textId="00AFE109" w:rsidR="004A05A9" w:rsidRDefault="00357AA7" w:rsidP="003D4893">
            <w:pPr>
              <w:pStyle w:val="BoxText"/>
            </w:pPr>
            <w:r w:rsidRPr="00A36037">
              <w:t xml:space="preserve">At its 5 July 2013 meeting, Consumer Affairs Ministers </w:t>
            </w:r>
            <w:r>
              <w:t>noted the outcomes of this work</w:t>
            </w:r>
            <w:r w:rsidRPr="00A36037">
              <w:t xml:space="preserve"> and agreed that consumer agencies would adopt a business</w:t>
            </w:r>
            <w:r w:rsidR="00455542">
              <w:noBreakHyphen/>
            </w:r>
            <w:r w:rsidRPr="00A36037">
              <w:t>as</w:t>
            </w:r>
            <w:r w:rsidR="00455542">
              <w:noBreakHyphen/>
            </w:r>
            <w:r w:rsidRPr="00A36037">
              <w:t xml:space="preserve">usual approach and consider food claims as part of their usual compliance activities under the </w:t>
            </w:r>
            <w:r>
              <w:t>ACL</w:t>
            </w:r>
            <w:r w:rsidRPr="00A36037">
              <w:t>.</w:t>
            </w:r>
          </w:p>
        </w:tc>
      </w:tr>
    </w:tbl>
    <w:p w14:paraId="2B54BB95" w14:textId="77777777" w:rsidR="004A05A9" w:rsidRDefault="004A05A9" w:rsidP="003D4893">
      <w:pPr>
        <w:pStyle w:val="SingleParagraph"/>
      </w:pPr>
    </w:p>
    <w:p w14:paraId="2B54BB96" w14:textId="77777777" w:rsidR="00EE2667" w:rsidRDefault="00EE2667">
      <w:pPr>
        <w:spacing w:after="0" w:line="240" w:lineRule="auto"/>
      </w:pPr>
      <w:r>
        <w:br w:type="page"/>
      </w:r>
    </w:p>
    <w:tbl>
      <w:tblPr>
        <w:tblStyle w:val="TableGrid"/>
        <w:tblW w:w="0" w:type="auto"/>
        <w:tblLook w:val="04A0" w:firstRow="1" w:lastRow="0" w:firstColumn="1" w:lastColumn="0" w:noHBand="0" w:noVBand="1"/>
      </w:tblPr>
      <w:tblGrid>
        <w:gridCol w:w="9286"/>
      </w:tblGrid>
      <w:tr w:rsidR="00E12396" w14:paraId="2B54BB9D" w14:textId="77777777" w:rsidTr="00E12396">
        <w:tc>
          <w:tcPr>
            <w:tcW w:w="9286" w:type="dxa"/>
          </w:tcPr>
          <w:p w14:paraId="2B54BB97" w14:textId="77777777" w:rsidR="00357AA7" w:rsidRPr="00B70D91" w:rsidRDefault="007746DB" w:rsidP="003D4893">
            <w:pPr>
              <w:pStyle w:val="BoxHeading"/>
            </w:pPr>
            <w:r>
              <w:lastRenderedPageBreak/>
              <w:t>Case study 1</w:t>
            </w:r>
            <w:r w:rsidR="009A4C04">
              <w:t>3</w:t>
            </w:r>
            <w:r w:rsidR="00357AA7" w:rsidRPr="00B70D91">
              <w:t xml:space="preserve"> — Credence claims made in relation to food products</w:t>
            </w:r>
          </w:p>
          <w:p w14:paraId="2B54BB98" w14:textId="77777777" w:rsidR="00357AA7" w:rsidRPr="00D555FF" w:rsidRDefault="00357AA7" w:rsidP="003D4893">
            <w:pPr>
              <w:pStyle w:val="BoxText"/>
            </w:pPr>
            <w:r>
              <w:t>Credence claims were identified as</w:t>
            </w:r>
            <w:r w:rsidRPr="00D555FF">
              <w:t xml:space="preserve"> an area where consumers are increasingly placing weight on premium claims of products and are likely to value the types of claims that directly affect the integrity of the product, such as where</w:t>
            </w:r>
            <w:r>
              <w:t xml:space="preserve"> and how it</w:t>
            </w:r>
            <w:r w:rsidRPr="00D555FF">
              <w:t xml:space="preserve"> was made, grown or produced. These claims can give a company a distinct competitive advantage above their competitor</w:t>
            </w:r>
            <w:r>
              <w:t>s</w:t>
            </w:r>
            <w:r w:rsidRPr="00D555FF">
              <w:t xml:space="preserve"> and be used as an important marketing strategy. As consumers rely on the honesty and accuracy of businesses’ representations</w:t>
            </w:r>
            <w:r>
              <w:t>,</w:t>
            </w:r>
            <w:r w:rsidRPr="00D555FF">
              <w:t xml:space="preserve"> the </w:t>
            </w:r>
            <w:r>
              <w:t>ACL regulators have</w:t>
            </w:r>
            <w:r w:rsidRPr="00D555FF">
              <w:t xml:space="preserve"> tak</w:t>
            </w:r>
            <w:r>
              <w:t>en</w:t>
            </w:r>
            <w:r w:rsidRPr="00D555FF">
              <w:t xml:space="preserve"> action to ensure that consumers are not misled by these claims. </w:t>
            </w:r>
          </w:p>
          <w:p w14:paraId="2B54BB99" w14:textId="77777777" w:rsidR="00357AA7" w:rsidRPr="00B60633" w:rsidRDefault="00357AA7" w:rsidP="003D4893">
            <w:pPr>
              <w:pStyle w:val="BoxText"/>
            </w:pPr>
            <w:r w:rsidRPr="00B60633">
              <w:t>For example, the ACCC’s enforcement action in credence claim matters includes court action against ‘free range’ claims in meat</w:t>
            </w:r>
            <w:r w:rsidR="00C37D98">
              <w:t xml:space="preserve"> and egg products</w:t>
            </w:r>
            <w:r w:rsidRPr="00B60633">
              <w:t xml:space="preserve">. </w:t>
            </w:r>
          </w:p>
          <w:p w14:paraId="2B54BB9A" w14:textId="77777777" w:rsidR="00357AA7" w:rsidRPr="001011D9" w:rsidRDefault="00357AA7" w:rsidP="003D4893">
            <w:pPr>
              <w:pStyle w:val="BoxBullet"/>
            </w:pPr>
            <w:r w:rsidRPr="001011D9">
              <w:t xml:space="preserve">On 9 July 2012, the ACCC instituted proceedings in the Federal Court in Melbourne against </w:t>
            </w:r>
            <w:proofErr w:type="spellStart"/>
            <w:r w:rsidRPr="00B60633">
              <w:t>Pepe’s</w:t>
            </w:r>
            <w:proofErr w:type="spellEnd"/>
            <w:r w:rsidRPr="00B60633">
              <w:t xml:space="preserve"> Ducks Ltd in</w:t>
            </w:r>
            <w:r w:rsidRPr="001011D9">
              <w:t xml:space="preserve"> relation to alleged contraventions of the ACL arising from </w:t>
            </w:r>
            <w:proofErr w:type="spellStart"/>
            <w:r w:rsidRPr="001011D9">
              <w:t>Pepe’s</w:t>
            </w:r>
            <w:proofErr w:type="spellEnd"/>
            <w:r w:rsidRPr="001011D9">
              <w:t xml:space="preserve"> use of the words ‘open range’ and/or ‘grown nature’s way’ (with a pictorial image of a duck in the outdoors against a background of a lake) on its packaging, website, delivery trucks, signage, stationery and merchandise. It was alleged that the duck meat products that </w:t>
            </w:r>
            <w:proofErr w:type="spellStart"/>
            <w:r w:rsidRPr="001011D9">
              <w:t>Pepe’s</w:t>
            </w:r>
            <w:proofErr w:type="spellEnd"/>
            <w:r w:rsidRPr="001011D9">
              <w:t xml:space="preserve"> sold or offered for sale were processed from ducks raised solely in indoor sheds without any access to the outdoors, and were not of a different quality from those raised solely in indoor sheds.</w:t>
            </w:r>
          </w:p>
          <w:p w14:paraId="2B54BB9B" w14:textId="77777777" w:rsidR="00357AA7" w:rsidRPr="001011D9" w:rsidRDefault="00357AA7" w:rsidP="003D4893">
            <w:pPr>
              <w:pStyle w:val="BoxBullet"/>
            </w:pPr>
            <w:r w:rsidRPr="001011D9">
              <w:t xml:space="preserve">In September 2012, the Federal Court </w:t>
            </w:r>
            <w:r w:rsidRPr="00B60633">
              <w:t>ordered Ms Rosemary Bruhn</w:t>
            </w:r>
            <w:r w:rsidRPr="001011D9">
              <w:t xml:space="preserve"> to pay a civil pecuniary penalty of $50 000 for conduct involving substituting cage eggs for free range eggs. The ACCC had alleged that from March 2007 to October 2010, Ms Bruhn, trading as Rosie’s Free Range Eggs, represented that eggs she supplied to 109 business customers in South Australia including retail outlets, bakeries, cafes and restaurants, were free range when a substantial proportion of the eggs were, in fact, cage eggs.</w:t>
            </w:r>
          </w:p>
          <w:p w14:paraId="2B54BB9C" w14:textId="71A5928B" w:rsidR="003C34C1" w:rsidRDefault="00357AA7" w:rsidP="003D4893">
            <w:pPr>
              <w:pStyle w:val="BoxBullet"/>
            </w:pPr>
            <w:r w:rsidRPr="001011D9">
              <w:t>In March 2013, the ACCC instituted proceedings again</w:t>
            </w:r>
            <w:r w:rsidRPr="00B60633">
              <w:t>st Luv</w:t>
            </w:r>
            <w:r w:rsidR="00455542">
              <w:noBreakHyphen/>
            </w:r>
            <w:r w:rsidRPr="00B60633">
              <w:t>a</w:t>
            </w:r>
            <w:r w:rsidR="00455542">
              <w:noBreakHyphen/>
            </w:r>
            <w:r w:rsidRPr="00B60633">
              <w:t>Duck Pty Ltd</w:t>
            </w:r>
            <w:r w:rsidR="00455542">
              <w:t xml:space="preserve">. </w:t>
            </w:r>
            <w:r w:rsidRPr="001011D9">
              <w:t>The ACCC allege</w:t>
            </w:r>
            <w:r w:rsidR="003910CB">
              <w:t>s that Luv</w:t>
            </w:r>
            <w:r w:rsidR="00455542">
              <w:noBreakHyphen/>
            </w:r>
            <w:r w:rsidR="003910CB">
              <w:t>a</w:t>
            </w:r>
            <w:r w:rsidR="00455542">
              <w:noBreakHyphen/>
            </w:r>
            <w:r w:rsidR="003910CB">
              <w:t xml:space="preserve">Duck Pty Ltd </w:t>
            </w:r>
            <w:r w:rsidR="00C51314">
              <w:t>engaged in</w:t>
            </w:r>
            <w:r w:rsidR="003910CB">
              <w:t xml:space="preserve"> </w:t>
            </w:r>
            <w:r w:rsidRPr="001011D9">
              <w:t xml:space="preserve">false, misleading and deceptive conduct in relation to the promotion and supply of its duck meat products, through use of statements such as ‘grown and grain fed in the spacious Victorian Wimmera </w:t>
            </w:r>
            <w:proofErr w:type="spellStart"/>
            <w:r w:rsidRPr="001011D9">
              <w:t>Wheatlands</w:t>
            </w:r>
            <w:proofErr w:type="spellEnd"/>
            <w:r w:rsidRPr="001011D9">
              <w:t>’ and ‘range reared and grain fed’. The ACCC alleges that the duck meat products sold or offered for sale by Luv</w:t>
            </w:r>
            <w:r w:rsidR="00455542">
              <w:noBreakHyphen/>
            </w:r>
            <w:r w:rsidRPr="001011D9">
              <w:t>a</w:t>
            </w:r>
            <w:r w:rsidR="00455542">
              <w:noBreakHyphen/>
            </w:r>
            <w:r w:rsidRPr="001011D9">
              <w:t xml:space="preserve">Duck were in fact processed from ducks that did not have substantial access to the outdoors, or access </w:t>
            </w:r>
            <w:r>
              <w:t>to spacious outdoor conditions.</w:t>
            </w:r>
          </w:p>
        </w:tc>
      </w:tr>
    </w:tbl>
    <w:p w14:paraId="2B54BB9E" w14:textId="77777777" w:rsidR="001C1B85" w:rsidRDefault="001C1B85" w:rsidP="003D4893">
      <w:pPr>
        <w:pStyle w:val="SingleParagraph"/>
      </w:pPr>
    </w:p>
    <w:p w14:paraId="2B54BB9F" w14:textId="77777777" w:rsidR="00423C1D" w:rsidRDefault="00423C1D">
      <w:pPr>
        <w:spacing w:after="0" w:line="240" w:lineRule="auto"/>
      </w:pPr>
      <w:r>
        <w:br w:type="page"/>
      </w:r>
    </w:p>
    <w:tbl>
      <w:tblPr>
        <w:tblStyle w:val="TableGrid"/>
        <w:tblW w:w="0" w:type="auto"/>
        <w:tblLook w:val="04A0" w:firstRow="1" w:lastRow="0" w:firstColumn="1" w:lastColumn="0" w:noHBand="0" w:noVBand="1"/>
      </w:tblPr>
      <w:tblGrid>
        <w:gridCol w:w="9286"/>
      </w:tblGrid>
      <w:tr w:rsidR="00423C1D" w14:paraId="2B54BBAA" w14:textId="77777777" w:rsidTr="00423C1D">
        <w:tc>
          <w:tcPr>
            <w:tcW w:w="9286" w:type="dxa"/>
          </w:tcPr>
          <w:p w14:paraId="2B54BBA0" w14:textId="5F24EC46" w:rsidR="00423C1D" w:rsidRPr="00B60633" w:rsidRDefault="00423C1D" w:rsidP="003D4893">
            <w:pPr>
              <w:pStyle w:val="BoxHeading"/>
            </w:pPr>
            <w:r w:rsidRPr="00B60633">
              <w:lastRenderedPageBreak/>
              <w:t>Case study 1</w:t>
            </w:r>
            <w:r w:rsidR="009A4C04">
              <w:t>4</w:t>
            </w:r>
            <w:r w:rsidRPr="00B60633">
              <w:t xml:space="preserve"> — </w:t>
            </w:r>
            <w:r>
              <w:t>Door</w:t>
            </w:r>
            <w:r w:rsidR="00455542">
              <w:noBreakHyphen/>
            </w:r>
            <w:r>
              <w:t>to</w:t>
            </w:r>
            <w:r w:rsidR="00455542">
              <w:noBreakHyphen/>
            </w:r>
            <w:r>
              <w:t>door selling</w:t>
            </w:r>
          </w:p>
          <w:p w14:paraId="2B54BBA1" w14:textId="7FBAE471" w:rsidR="00134E2B" w:rsidRDefault="00B76D1D" w:rsidP="003D4893">
            <w:pPr>
              <w:pStyle w:val="BoxText"/>
            </w:pPr>
            <w:r>
              <w:t>Con</w:t>
            </w:r>
            <w:r w:rsidR="006770EE">
              <w:t>sumer agencies have continued</w:t>
            </w:r>
            <w:r>
              <w:t xml:space="preserve"> compliance and enforcement efforts to address concerns in relation to door</w:t>
            </w:r>
            <w:r w:rsidR="00455542">
              <w:noBreakHyphen/>
            </w:r>
            <w:r>
              <w:t>to</w:t>
            </w:r>
            <w:r w:rsidR="00455542">
              <w:noBreakHyphen/>
            </w:r>
            <w:r>
              <w:t>door selling</w:t>
            </w:r>
            <w:r w:rsidR="00455542">
              <w:t xml:space="preserve">. </w:t>
            </w:r>
            <w:r>
              <w:t xml:space="preserve">This work includes the preparation of guidance materials </w:t>
            </w:r>
            <w:r w:rsidR="003B0BE0">
              <w:t xml:space="preserve">on agencies’ websites, and the promotion and distribution of </w:t>
            </w:r>
            <w:hyperlink r:id="rId55" w:history="1">
              <w:r w:rsidR="00134E2B" w:rsidRPr="001011D9">
                <w:t>‘Do Not Knock’</w:t>
              </w:r>
            </w:hyperlink>
            <w:r w:rsidR="00134E2B" w:rsidRPr="001011D9">
              <w:t xml:space="preserve"> sticker</w:t>
            </w:r>
            <w:r w:rsidR="003B0BE0">
              <w:t>s</w:t>
            </w:r>
            <w:r w:rsidR="00134E2B" w:rsidRPr="001011D9">
              <w:t xml:space="preserve"> to help consumers avoid unwanted door</w:t>
            </w:r>
            <w:r w:rsidR="00455542">
              <w:noBreakHyphen/>
            </w:r>
            <w:r w:rsidR="00134E2B" w:rsidRPr="001011D9">
              <w:t>to</w:t>
            </w:r>
            <w:r w:rsidR="00455542">
              <w:noBreakHyphen/>
            </w:r>
            <w:r w:rsidR="00134E2B" w:rsidRPr="001011D9">
              <w:t xml:space="preserve">door selling. </w:t>
            </w:r>
          </w:p>
          <w:p w14:paraId="2B54BBA2" w14:textId="492625A4" w:rsidR="003B0BE0" w:rsidRPr="001011D9" w:rsidRDefault="003B0BE0" w:rsidP="00B70D91">
            <w:pPr>
              <w:spacing w:before="240" w:after="120" w:line="240" w:lineRule="auto"/>
              <w:jc w:val="center"/>
            </w:pPr>
            <w:r>
              <w:rPr>
                <w:noProof/>
              </w:rPr>
              <w:drawing>
                <wp:inline distT="0" distB="0" distL="0" distR="0" wp14:anchorId="2B54BC39" wp14:editId="2B54BC3A">
                  <wp:extent cx="3171825" cy="20869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2798"/>
                          <a:stretch/>
                        </pic:blipFill>
                        <pic:spPr bwMode="auto">
                          <a:xfrm>
                            <a:off x="0" y="0"/>
                            <a:ext cx="3180388" cy="2092603"/>
                          </a:xfrm>
                          <a:prstGeom prst="rect">
                            <a:avLst/>
                          </a:prstGeom>
                          <a:ln>
                            <a:noFill/>
                          </a:ln>
                          <a:extLst>
                            <a:ext uri="{53640926-AAD7-44D8-BBD7-CCE9431645EC}">
                              <a14:shadowObscured xmlns:a14="http://schemas.microsoft.com/office/drawing/2010/main"/>
                            </a:ext>
                          </a:extLst>
                        </pic:spPr>
                      </pic:pic>
                    </a:graphicData>
                  </a:graphic>
                </wp:inline>
              </w:drawing>
            </w:r>
            <w:r>
              <w:br/>
            </w:r>
            <w:r w:rsidRPr="00986584">
              <w:rPr>
                <w:rFonts w:ascii="Arial" w:hAnsi="Arial"/>
                <w:sz w:val="16"/>
              </w:rPr>
              <w:t xml:space="preserve">Source: </w:t>
            </w:r>
            <w:r w:rsidRPr="003B0BE0">
              <w:rPr>
                <w:rFonts w:ascii="Arial" w:hAnsi="Arial"/>
                <w:sz w:val="16"/>
              </w:rPr>
              <w:t>http://www.accc.gov.au/publications/door</w:t>
            </w:r>
            <w:r w:rsidR="00455542">
              <w:rPr>
                <w:rFonts w:ascii="Arial" w:hAnsi="Arial"/>
                <w:sz w:val="16"/>
              </w:rPr>
              <w:noBreakHyphen/>
            </w:r>
            <w:r w:rsidRPr="003B0BE0">
              <w:rPr>
                <w:rFonts w:ascii="Arial" w:hAnsi="Arial"/>
                <w:sz w:val="16"/>
              </w:rPr>
              <w:t>to</w:t>
            </w:r>
            <w:r w:rsidR="00455542">
              <w:rPr>
                <w:rFonts w:ascii="Arial" w:hAnsi="Arial"/>
                <w:sz w:val="16"/>
              </w:rPr>
              <w:noBreakHyphen/>
            </w:r>
            <w:r w:rsidRPr="003B0BE0">
              <w:rPr>
                <w:rFonts w:ascii="Arial" w:hAnsi="Arial"/>
                <w:sz w:val="16"/>
              </w:rPr>
              <w:t>door</w:t>
            </w:r>
            <w:r w:rsidR="00455542">
              <w:rPr>
                <w:rFonts w:ascii="Arial" w:hAnsi="Arial"/>
                <w:sz w:val="16"/>
              </w:rPr>
              <w:noBreakHyphen/>
            </w:r>
            <w:r w:rsidRPr="003B0BE0">
              <w:rPr>
                <w:rFonts w:ascii="Arial" w:hAnsi="Arial"/>
                <w:sz w:val="16"/>
              </w:rPr>
              <w:t>do</w:t>
            </w:r>
            <w:r w:rsidR="00455542">
              <w:rPr>
                <w:rFonts w:ascii="Arial" w:hAnsi="Arial"/>
                <w:sz w:val="16"/>
              </w:rPr>
              <w:noBreakHyphen/>
            </w:r>
            <w:r w:rsidRPr="003B0BE0">
              <w:rPr>
                <w:rFonts w:ascii="Arial" w:hAnsi="Arial"/>
                <w:sz w:val="16"/>
              </w:rPr>
              <w:t>not</w:t>
            </w:r>
            <w:r w:rsidR="00455542">
              <w:rPr>
                <w:rFonts w:ascii="Arial" w:hAnsi="Arial"/>
                <w:sz w:val="16"/>
              </w:rPr>
              <w:noBreakHyphen/>
            </w:r>
            <w:r w:rsidRPr="003B0BE0">
              <w:rPr>
                <w:rFonts w:ascii="Arial" w:hAnsi="Arial"/>
                <w:sz w:val="16"/>
              </w:rPr>
              <w:t>knock</w:t>
            </w:r>
            <w:r w:rsidR="00455542">
              <w:rPr>
                <w:rFonts w:ascii="Arial" w:hAnsi="Arial"/>
                <w:sz w:val="16"/>
              </w:rPr>
              <w:noBreakHyphen/>
            </w:r>
            <w:r w:rsidRPr="003B0BE0">
              <w:rPr>
                <w:rFonts w:ascii="Arial" w:hAnsi="Arial"/>
                <w:sz w:val="16"/>
              </w:rPr>
              <w:t>sticker</w:t>
            </w:r>
          </w:p>
          <w:p w14:paraId="2B54BBA3" w14:textId="47253248" w:rsidR="00134E2B" w:rsidRPr="001011D9" w:rsidRDefault="00451733" w:rsidP="003D4893">
            <w:pPr>
              <w:pStyle w:val="BoxText"/>
            </w:pPr>
            <w:r>
              <w:t>In 2012</w:t>
            </w:r>
            <w:r w:rsidR="00455542">
              <w:noBreakHyphen/>
            </w:r>
            <w:r>
              <w:t>13</w:t>
            </w:r>
            <w:r w:rsidR="00134E2B" w:rsidRPr="001011D9">
              <w:t>,</w:t>
            </w:r>
            <w:r>
              <w:t xml:space="preserve"> consumer agencies have targeted the door</w:t>
            </w:r>
            <w:r w:rsidR="00455542">
              <w:noBreakHyphen/>
            </w:r>
            <w:r>
              <w:t>to</w:t>
            </w:r>
            <w:r w:rsidR="00455542">
              <w:noBreakHyphen/>
            </w:r>
            <w:r>
              <w:t>door selling practices in specific industry sectors</w:t>
            </w:r>
            <w:r w:rsidR="00455542">
              <w:t xml:space="preserve">. </w:t>
            </w:r>
            <w:r>
              <w:t>For example, in 2011</w:t>
            </w:r>
            <w:r w:rsidR="00134E2B" w:rsidRPr="001011D9">
              <w:t xml:space="preserve"> the ACCC and the Australian Energy Regulator wrote to energy retailers</w:t>
            </w:r>
            <w:r w:rsidR="00134E2B">
              <w:t xml:space="preserve"> to put them on notice that the </w:t>
            </w:r>
            <w:r w:rsidR="00134E2B" w:rsidRPr="001011D9">
              <w:t xml:space="preserve">ACCC is closely watching their use </w:t>
            </w:r>
            <w:proofErr w:type="gramStart"/>
            <w:r w:rsidR="00134E2B" w:rsidRPr="001011D9">
              <w:t xml:space="preserve">of </w:t>
            </w:r>
            <w:r w:rsidR="003D4893">
              <w:t xml:space="preserve"> </w:t>
            </w:r>
            <w:r w:rsidR="00134E2B" w:rsidRPr="001011D9">
              <w:t>doo</w:t>
            </w:r>
            <w:r w:rsidR="006770EE">
              <w:t>r</w:t>
            </w:r>
            <w:proofErr w:type="gramEnd"/>
            <w:r w:rsidR="00455542">
              <w:noBreakHyphen/>
            </w:r>
            <w:r w:rsidR="00134E2B" w:rsidRPr="001011D9">
              <w:t>to</w:t>
            </w:r>
            <w:r w:rsidR="00455542">
              <w:noBreakHyphen/>
            </w:r>
            <w:r w:rsidR="00134E2B" w:rsidRPr="001011D9">
              <w:t xml:space="preserve">door </w:t>
            </w:r>
            <w:r w:rsidR="00134E2B" w:rsidRPr="003D4893">
              <w:t>selling</w:t>
            </w:r>
            <w:r w:rsidR="00134E2B" w:rsidRPr="001011D9">
              <w:t xml:space="preserve"> practices and the conduct of their salespeople. The ACCC followed with enforcement action against a number of energy retailers in</w:t>
            </w:r>
            <w:r w:rsidR="002912ED">
              <w:t xml:space="preserve"> relation to their door</w:t>
            </w:r>
            <w:r w:rsidR="00455542">
              <w:noBreakHyphen/>
            </w:r>
            <w:r w:rsidR="002912ED">
              <w:t>to</w:t>
            </w:r>
            <w:r w:rsidR="00455542">
              <w:noBreakHyphen/>
            </w:r>
            <w:r w:rsidR="002912ED">
              <w:t xml:space="preserve">door </w:t>
            </w:r>
            <w:r w:rsidR="00134E2B" w:rsidRPr="001011D9">
              <w:t>selling practices</w:t>
            </w:r>
            <w:r w:rsidR="00134E2B">
              <w:t>.</w:t>
            </w:r>
          </w:p>
          <w:p w14:paraId="2B54BBA4" w14:textId="06390E99" w:rsidR="00134E2B" w:rsidRDefault="00134E2B" w:rsidP="003D4893">
            <w:pPr>
              <w:pStyle w:val="BoxText"/>
            </w:pPr>
            <w:r w:rsidRPr="00B70D91">
              <w:t>Key enforcement outcomes targeting door</w:t>
            </w:r>
            <w:r w:rsidR="00455542">
              <w:noBreakHyphen/>
            </w:r>
            <w:r w:rsidRPr="00B70D91">
              <w:t>to</w:t>
            </w:r>
            <w:r w:rsidR="00455542">
              <w:noBreakHyphen/>
            </w:r>
            <w:r w:rsidRPr="00B70D91">
              <w:t>door selling in the energy sect</w:t>
            </w:r>
            <w:r w:rsidR="006770EE">
              <w:t>or achieved by the ACCC include</w:t>
            </w:r>
            <w:r w:rsidRPr="00B70D91">
              <w:t>:</w:t>
            </w:r>
          </w:p>
          <w:p w14:paraId="2B54BBA5" w14:textId="77777777" w:rsidR="00134E2B" w:rsidRDefault="00451733" w:rsidP="003D4893">
            <w:pPr>
              <w:pStyle w:val="BoxBullet"/>
            </w:pPr>
            <w:r>
              <w:t>i</w:t>
            </w:r>
            <w:r w:rsidR="00134E2B" w:rsidRPr="00B60633">
              <w:t xml:space="preserve">nstituting proceedings against </w:t>
            </w:r>
            <w:proofErr w:type="spellStart"/>
            <w:r w:rsidR="00134E2B" w:rsidRPr="00B60633">
              <w:t>EnergyAustralia</w:t>
            </w:r>
            <w:proofErr w:type="spellEnd"/>
            <w:r w:rsidR="00134E2B" w:rsidRPr="00B60633">
              <w:t xml:space="preserve">, and some of its previous marketing companies for alleged breaches of the </w:t>
            </w:r>
            <w:r>
              <w:t>ACL</w:t>
            </w:r>
            <w:r w:rsidR="006770EE">
              <w:t xml:space="preserve"> by ‘knocking </w:t>
            </w:r>
            <w:r w:rsidR="002912ED">
              <w:t>at the door</w:t>
            </w:r>
            <w:r w:rsidR="006770EE">
              <w:t>’</w:t>
            </w:r>
            <w:r w:rsidR="00134E2B" w:rsidRPr="00B60633">
              <w:t>, despite the presen</w:t>
            </w:r>
            <w:r>
              <w:t>ce of a ‘Do Not Knock’ sticker;</w:t>
            </w:r>
          </w:p>
          <w:p w14:paraId="2B54BBA6" w14:textId="0E9590A1" w:rsidR="00134E2B" w:rsidRPr="00B70D91" w:rsidRDefault="00451733" w:rsidP="003D4893">
            <w:pPr>
              <w:pStyle w:val="BoxBullet"/>
            </w:pPr>
            <w:r>
              <w:t>s</w:t>
            </w:r>
            <w:r w:rsidR="00134E2B" w:rsidRPr="00B70D91">
              <w:t xml:space="preserve">ecuring a $1.555 million penalty against AGL Sales Pty Ltd </w:t>
            </w:r>
            <w:r>
              <w:t>and AGL South Australia Pty Ltd</w:t>
            </w:r>
            <w:r w:rsidR="00134E2B" w:rsidRPr="00B70D91">
              <w:t xml:space="preserve"> for illegal door</w:t>
            </w:r>
            <w:r w:rsidR="00455542">
              <w:noBreakHyphen/>
            </w:r>
            <w:r w:rsidR="00134E2B" w:rsidRPr="00B70D91">
              <w:t>to</w:t>
            </w:r>
            <w:r w:rsidR="00455542">
              <w:noBreakHyphen/>
            </w:r>
            <w:r w:rsidR="00134E2B" w:rsidRPr="00B70D91">
              <w:t xml:space="preserve">door selling practices, and $200 000 against CPM Australia Pty </w:t>
            </w:r>
            <w:r>
              <w:t>Ltd for its role in the conduct; and</w:t>
            </w:r>
          </w:p>
          <w:p w14:paraId="2B54BBA7" w14:textId="77777777" w:rsidR="00134E2B" w:rsidRPr="00B70D91" w:rsidRDefault="00451733" w:rsidP="003D4893">
            <w:pPr>
              <w:pStyle w:val="BoxBullet"/>
            </w:pPr>
            <w:r>
              <w:t>s</w:t>
            </w:r>
            <w:r w:rsidR="00134E2B" w:rsidRPr="00B70D91">
              <w:t xml:space="preserve">ecuring penalties of $850 000 from Neighbourhood Energy Pty Ltd and $150 000 from its marketing company, Australian Green Credits Pty Ltd in the first case brought under the unsolicited consumer agreement provisions of the ACL. </w:t>
            </w:r>
          </w:p>
          <w:p w14:paraId="3359828B" w14:textId="77777777" w:rsidR="008100A0" w:rsidRDefault="008100A0" w:rsidP="003D4893">
            <w:pPr>
              <w:pStyle w:val="BoxText"/>
            </w:pPr>
            <w:r w:rsidRPr="004A2680">
              <w:t>The Court’s decision</w:t>
            </w:r>
            <w:r>
              <w:t xml:space="preserve"> in the matter of </w:t>
            </w:r>
            <w:r w:rsidRPr="004A2680">
              <w:t>AGL South Australia Pty Ltd and its marketing company, CPM Australia Pty Ltd</w:t>
            </w:r>
            <w:r>
              <w:t>,</w:t>
            </w:r>
            <w:r w:rsidRPr="004A2680">
              <w:t xml:space="preserve"> confirms that consumers can use a sign to request uninvited salespeople to leave their premises and do not need to meet the salesperson face</w:t>
            </w:r>
            <w:r>
              <w:noBreakHyphen/>
            </w:r>
            <w:r w:rsidRPr="00043C40">
              <w:t>to</w:t>
            </w:r>
            <w:r>
              <w:noBreakHyphen/>
            </w:r>
            <w:r w:rsidRPr="004A2680">
              <w:t>face to ask them to leave.</w:t>
            </w:r>
            <w:r>
              <w:t xml:space="preserve">  </w:t>
            </w:r>
          </w:p>
          <w:p w14:paraId="2B54BBA9" w14:textId="1055D7B0" w:rsidR="00134E2B" w:rsidRDefault="00134E2B" w:rsidP="003D4893">
            <w:pPr>
              <w:pStyle w:val="BoxText"/>
            </w:pPr>
            <w:r w:rsidRPr="00B70D91">
              <w:t>As at 30 June 2013, the three largest energy retailers, Energy Australia, AGL and Origin announced that they have decided to cease door</w:t>
            </w:r>
            <w:r w:rsidR="00455542">
              <w:noBreakHyphen/>
            </w:r>
            <w:r w:rsidRPr="00B70D91">
              <w:t>to</w:t>
            </w:r>
            <w:r w:rsidR="00455542">
              <w:noBreakHyphen/>
            </w:r>
            <w:r w:rsidRPr="00B70D91">
              <w:t xml:space="preserve">door marketing. </w:t>
            </w:r>
          </w:p>
        </w:tc>
      </w:tr>
    </w:tbl>
    <w:p w14:paraId="2B54BBAB" w14:textId="77777777" w:rsidR="00E12396" w:rsidRDefault="00E12396" w:rsidP="00912F54"/>
    <w:tbl>
      <w:tblPr>
        <w:tblStyle w:val="TableGrid"/>
        <w:tblW w:w="0" w:type="auto"/>
        <w:tblLook w:val="04A0" w:firstRow="1" w:lastRow="0" w:firstColumn="1" w:lastColumn="0" w:noHBand="0" w:noVBand="1"/>
      </w:tblPr>
      <w:tblGrid>
        <w:gridCol w:w="9286"/>
      </w:tblGrid>
      <w:tr w:rsidR="008100A0" w14:paraId="5141C9B2" w14:textId="77777777" w:rsidTr="008100A0">
        <w:tc>
          <w:tcPr>
            <w:tcW w:w="9286" w:type="dxa"/>
          </w:tcPr>
          <w:p w14:paraId="460ACB93" w14:textId="31C29188" w:rsidR="008100A0" w:rsidRDefault="008100A0" w:rsidP="008100A0">
            <w:pPr>
              <w:pStyle w:val="BoxHeading"/>
            </w:pPr>
            <w:r>
              <w:lastRenderedPageBreak/>
              <w:t>Case study 14</w:t>
            </w:r>
            <w:r w:rsidRPr="00A772DF">
              <w:t xml:space="preserve"> — </w:t>
            </w:r>
            <w:r w:rsidRPr="00097593">
              <w:t>(Continued)</w:t>
            </w:r>
          </w:p>
          <w:p w14:paraId="32C1D62A" w14:textId="7A209304" w:rsidR="008100A0" w:rsidRDefault="008100A0" w:rsidP="00912F54">
            <w:r>
              <w:t>Action has also been taken against door</w:t>
            </w:r>
            <w:r>
              <w:noBreakHyphen/>
              <w:t>to</w:t>
            </w:r>
            <w:r>
              <w:noBreakHyphen/>
              <w:t xml:space="preserve">door sellers alleged to have breached their broader obligations under the ACL, including in relation to unconscionable conduct. </w:t>
            </w:r>
            <w:r w:rsidRPr="00134E2B">
              <w:t>In August 2013, the Full Federal Court upheld the ACCC’s appeal against the March 2013 decision of the Federal Court in the matter of Lux Distributors Pty Ltd. The Full Federal Court set aside the judgment of Justice Jessop and made declarations that Lux had engaged in unconscionable conduct in relation to the sale of vacuum cleaners to three elderly consumers in their homes. The matter remains before the court for a decision in relation to relief, including pecuniary penalties.</w:t>
            </w:r>
          </w:p>
        </w:tc>
      </w:tr>
    </w:tbl>
    <w:p w14:paraId="237D3618" w14:textId="77777777" w:rsidR="008100A0" w:rsidRDefault="008100A0" w:rsidP="00912F54"/>
    <w:p w14:paraId="1590F463" w14:textId="77777777" w:rsidR="008100A0" w:rsidRDefault="008100A0" w:rsidP="00912F54"/>
    <w:p w14:paraId="74FC403F" w14:textId="77777777" w:rsidR="008100A0" w:rsidRDefault="008100A0" w:rsidP="00912F54">
      <w:pPr>
        <w:sectPr w:rsidR="008100A0" w:rsidSect="007D08F3">
          <w:pgSz w:w="11906" w:h="16838" w:code="9"/>
          <w:pgMar w:top="1418" w:right="1418" w:bottom="1418" w:left="1418" w:header="709" w:footer="709" w:gutter="0"/>
          <w:cols w:space="708"/>
          <w:titlePg/>
          <w:docGrid w:linePitch="360"/>
        </w:sectPr>
      </w:pPr>
    </w:p>
    <w:p w14:paraId="2B54BBAC" w14:textId="77777777" w:rsidR="00912F54" w:rsidRDefault="00912F54" w:rsidP="00912F54">
      <w:pPr>
        <w:pStyle w:val="Heading1"/>
      </w:pPr>
      <w:bookmarkStart w:id="90" w:name="_Toc370468071"/>
      <w:r>
        <w:lastRenderedPageBreak/>
        <w:t>Product safety</w:t>
      </w:r>
      <w:bookmarkEnd w:id="90"/>
    </w:p>
    <w:tbl>
      <w:tblPr>
        <w:tblStyle w:val="TableGrid"/>
        <w:tblW w:w="0" w:type="auto"/>
        <w:tblLook w:val="04A0" w:firstRow="1" w:lastRow="0" w:firstColumn="1" w:lastColumn="0" w:noHBand="0" w:noVBand="1"/>
      </w:tblPr>
      <w:tblGrid>
        <w:gridCol w:w="9286"/>
      </w:tblGrid>
      <w:tr w:rsidR="00912F54" w14:paraId="2B54BBAF" w14:textId="77777777" w:rsidTr="00912F54">
        <w:tc>
          <w:tcPr>
            <w:tcW w:w="9286" w:type="dxa"/>
          </w:tcPr>
          <w:p w14:paraId="2B54BBAD" w14:textId="77777777" w:rsidR="00912F54" w:rsidRPr="00912F54" w:rsidRDefault="00912F54" w:rsidP="003D4893">
            <w:pPr>
              <w:pStyle w:val="BoxHeading"/>
            </w:pPr>
            <w:r w:rsidRPr="00912F54">
              <w:t>Summary</w:t>
            </w:r>
          </w:p>
          <w:p w14:paraId="2B54BBAE" w14:textId="1D5F5B01" w:rsidR="00912F54" w:rsidRDefault="00912F54" w:rsidP="003D4893">
            <w:pPr>
              <w:pStyle w:val="BoxText"/>
            </w:pPr>
            <w:r>
              <w:t>In 2012</w:t>
            </w:r>
            <w:r w:rsidR="00455542">
              <w:noBreakHyphen/>
            </w:r>
            <w:r>
              <w:t xml:space="preserve">13, </w:t>
            </w:r>
            <w:r w:rsidR="00094A6F">
              <w:t>c</w:t>
            </w:r>
            <w:r w:rsidR="001D761E" w:rsidRPr="00D03AB8">
              <w:t xml:space="preserve">onsumer agencies continued to promote, maintain and achieve compliance with Australia’s product safety system. Key work included </w:t>
            </w:r>
            <w:r w:rsidR="001D761E">
              <w:t xml:space="preserve">projects relating </w:t>
            </w:r>
            <w:r w:rsidR="001D761E" w:rsidRPr="00D03AB8">
              <w:t>to sunglasses,</w:t>
            </w:r>
            <w:r w:rsidR="00E5627B">
              <w:t xml:space="preserve"> button batteries,</w:t>
            </w:r>
            <w:r w:rsidR="001D761E" w:rsidRPr="00D03AB8">
              <w:t xml:space="preserve"> sporting goods,</w:t>
            </w:r>
            <w:r w:rsidR="00E5627B">
              <w:t xml:space="preserve"> bunk beds used in commercial premises,</w:t>
            </w:r>
            <w:r w:rsidR="001D761E" w:rsidRPr="00D03AB8">
              <w:t xml:space="preserve"> ember protection for evaporative air conditioners and research into the safety of quad bikes</w:t>
            </w:r>
            <w:r w:rsidR="00455542">
              <w:t xml:space="preserve">. </w:t>
            </w:r>
            <w:r w:rsidR="001D761E" w:rsidRPr="00D03AB8">
              <w:t>In the emerging hazards area, the PSCC developed an urgent response framework, introduced a report on deaths and severe injuries associ</w:t>
            </w:r>
            <w:r w:rsidR="00526224">
              <w:t>ated with consumer goods and co</w:t>
            </w:r>
            <w:r w:rsidR="001D761E" w:rsidRPr="00D03AB8">
              <w:t>ordinated a national response to hazards posed by small powerful magnets and synthetic drugs.</w:t>
            </w:r>
          </w:p>
        </w:tc>
      </w:tr>
    </w:tbl>
    <w:p w14:paraId="2B54BBB0" w14:textId="77777777" w:rsidR="00912F54" w:rsidRDefault="00912F54" w:rsidP="00912F54">
      <w:pPr>
        <w:pStyle w:val="Heading2"/>
      </w:pPr>
      <w:bookmarkStart w:id="91" w:name="_Toc367715275"/>
      <w:bookmarkStart w:id="92" w:name="_Toc370468072"/>
      <w:r>
        <w:t>Overview</w:t>
      </w:r>
      <w:bookmarkEnd w:id="91"/>
      <w:bookmarkEnd w:id="92"/>
    </w:p>
    <w:p w14:paraId="2B54BBB1" w14:textId="77777777" w:rsidR="00912F54" w:rsidRPr="00B34248" w:rsidRDefault="00912F54" w:rsidP="00912F54">
      <w:r>
        <w:t xml:space="preserve">The PSCC has supported </w:t>
      </w:r>
      <w:r w:rsidR="00A34421">
        <w:t xml:space="preserve">the </w:t>
      </w:r>
      <w:r>
        <w:t>coordinat</w:t>
      </w:r>
      <w:r w:rsidR="00A34421">
        <w:t xml:space="preserve">ion of </w:t>
      </w:r>
      <w:r w:rsidR="00016F6E">
        <w:t xml:space="preserve">consumer </w:t>
      </w:r>
      <w:r w:rsidR="00A34421">
        <w:t>agencies’</w:t>
      </w:r>
      <w:r>
        <w:t xml:space="preserve"> efforts to ensure suppliers are aware of their ACL product safety obligations. </w:t>
      </w:r>
      <w:r w:rsidRPr="00C43521">
        <w:rPr>
          <w:rFonts w:cstheme="minorHAnsi"/>
        </w:rPr>
        <w:t>The PSCC has undertaken strategic compliance</w:t>
      </w:r>
      <w:r>
        <w:rPr>
          <w:rFonts w:cstheme="minorHAnsi"/>
        </w:rPr>
        <w:t xml:space="preserve"> </w:t>
      </w:r>
      <w:r w:rsidRPr="00C43521">
        <w:rPr>
          <w:rFonts w:cstheme="minorHAnsi"/>
        </w:rPr>
        <w:t xml:space="preserve">programs </w:t>
      </w:r>
      <w:r>
        <w:rPr>
          <w:rFonts w:cstheme="minorHAnsi"/>
        </w:rPr>
        <w:t xml:space="preserve">including surveillance </w:t>
      </w:r>
      <w:r w:rsidRPr="00C43521">
        <w:rPr>
          <w:rFonts w:cstheme="minorHAnsi"/>
        </w:rPr>
        <w:t>on behalf of consumer agencies.</w:t>
      </w:r>
      <w:r>
        <w:t xml:space="preserve"> In addition, t</w:t>
      </w:r>
      <w:r w:rsidRPr="00F96F6E">
        <w:t>he PSCC continues to</w:t>
      </w:r>
      <w:r>
        <w:t xml:space="preserve"> assess emerging hazards and </w:t>
      </w:r>
      <w:r w:rsidRPr="00B34248">
        <w:t>work</w:t>
      </w:r>
      <w:r>
        <w:t xml:space="preserve"> </w:t>
      </w:r>
      <w:r w:rsidRPr="00B34248">
        <w:t>collaboratively</w:t>
      </w:r>
      <w:r w:rsidRPr="0005195C">
        <w:t xml:space="preserve"> </w:t>
      </w:r>
      <w:r w:rsidRPr="00B34248">
        <w:t>to revise</w:t>
      </w:r>
      <w:r>
        <w:t xml:space="preserve"> existing</w:t>
      </w:r>
      <w:r w:rsidRPr="00B34248">
        <w:t xml:space="preserve"> and</w:t>
      </w:r>
      <w:r>
        <w:t xml:space="preserve"> develop new</w:t>
      </w:r>
      <w:r w:rsidRPr="00B34248">
        <w:t xml:space="preserve"> regulations</w:t>
      </w:r>
      <w:r>
        <w:t>.</w:t>
      </w:r>
      <w:r w:rsidRPr="00B34248">
        <w:t xml:space="preserve"> </w:t>
      </w:r>
      <w:r w:rsidR="00E5627B">
        <w:t xml:space="preserve">The PSCC also worked towards a more integrated approach in dealing with product safety compliance projects. </w:t>
      </w:r>
    </w:p>
    <w:p w14:paraId="2B54BBB2" w14:textId="77777777" w:rsidR="00912F54" w:rsidRDefault="00183DD9" w:rsidP="00912F54">
      <w:pPr>
        <w:pStyle w:val="Heading3"/>
      </w:pPr>
      <w:bookmarkStart w:id="93" w:name="_Toc370468073"/>
      <w:r>
        <w:t>Coordinating national strategies to reduce the risk of product related injury and death</w:t>
      </w:r>
      <w:bookmarkEnd w:id="93"/>
    </w:p>
    <w:p w14:paraId="2B54BBB3" w14:textId="330CC6EA" w:rsidR="00D30C1F" w:rsidRDefault="00912F54" w:rsidP="009C6840">
      <w:pPr>
        <w:spacing w:after="0"/>
      </w:pPr>
      <w:r>
        <w:t>PSCC</w:t>
      </w:r>
      <w:r w:rsidR="00A34421">
        <w:t>’s responsibilities include</w:t>
      </w:r>
      <w:r>
        <w:t xml:space="preserve"> </w:t>
      </w:r>
      <w:proofErr w:type="gramStart"/>
      <w:r>
        <w:t>to identify</w:t>
      </w:r>
      <w:proofErr w:type="gramEnd"/>
      <w:r>
        <w:t xml:space="preserve"> and implement national strategies to reduce the risk of product related injury and death</w:t>
      </w:r>
      <w:r w:rsidR="00455542">
        <w:t xml:space="preserve">. </w:t>
      </w:r>
      <w:r w:rsidR="00A34421">
        <w:t>I</w:t>
      </w:r>
      <w:r>
        <w:t>n 2012</w:t>
      </w:r>
      <w:r w:rsidR="00455542">
        <w:noBreakHyphen/>
      </w:r>
      <w:r>
        <w:t>13</w:t>
      </w:r>
      <w:r w:rsidR="005F5607">
        <w:t>,</w:t>
      </w:r>
      <w:r w:rsidR="00A34421">
        <w:t xml:space="preserve"> the PSCC continued t</w:t>
      </w:r>
      <w:r w:rsidR="00183DD9">
        <w:t xml:space="preserve">o </w:t>
      </w:r>
      <w:r>
        <w:t>oversee the delivery of product safety projects as outline</w:t>
      </w:r>
      <w:r w:rsidR="00183DD9">
        <w:t>d by Consumer Affairs ministers as well as p</w:t>
      </w:r>
      <w:r>
        <w:t>roviding input into the development of pr</w:t>
      </w:r>
      <w:r w:rsidR="00183DD9">
        <w:t>oduct safety regulations</w:t>
      </w:r>
      <w:r w:rsidR="00455542">
        <w:t xml:space="preserve">. </w:t>
      </w:r>
      <w:r w:rsidR="00183DD9">
        <w:t xml:space="preserve">The PSCC also </w:t>
      </w:r>
      <w:r w:rsidR="00D30C1F">
        <w:t>coordinated</w:t>
      </w:r>
      <w:r>
        <w:t xml:space="preserve"> resp</w:t>
      </w:r>
      <w:r w:rsidR="00183DD9">
        <w:t xml:space="preserve">onses to urgent emerging issues, </w:t>
      </w:r>
      <w:r>
        <w:t>advis</w:t>
      </w:r>
      <w:r w:rsidR="00183DD9">
        <w:t>ed</w:t>
      </w:r>
      <w:r>
        <w:t xml:space="preserve"> CAANZ of severe injuries or deaths as</w:t>
      </w:r>
      <w:r w:rsidR="00183DD9">
        <w:t>sociated with consumer products,</w:t>
      </w:r>
      <w:r>
        <w:t xml:space="preserve"> and</w:t>
      </w:r>
      <w:r w:rsidR="00183DD9">
        <w:t xml:space="preserve"> </w:t>
      </w:r>
      <w:r>
        <w:t>work</w:t>
      </w:r>
      <w:r w:rsidR="00183DD9">
        <w:t>ed</w:t>
      </w:r>
      <w:r>
        <w:t xml:space="preserve"> with CDRAC, EIAC and PRAC to deliver nationally coordinated product safety initiatives for consideration by CAANZ. </w:t>
      </w:r>
    </w:p>
    <w:p w14:paraId="2B54BBB4" w14:textId="77777777" w:rsidR="00912F54" w:rsidRDefault="00912F54" w:rsidP="00912F54">
      <w:pPr>
        <w:pStyle w:val="Heading3"/>
      </w:pPr>
      <w:bookmarkStart w:id="94" w:name="_Toc342299539"/>
      <w:bookmarkStart w:id="95" w:name="_Toc342381501"/>
      <w:bookmarkStart w:id="96" w:name="_Toc370468074"/>
      <w:r>
        <w:t>Achieving compliance with Australia’s product safety system</w:t>
      </w:r>
      <w:bookmarkEnd w:id="94"/>
      <w:bookmarkEnd w:id="95"/>
      <w:bookmarkEnd w:id="96"/>
    </w:p>
    <w:p w14:paraId="2B54BBB5" w14:textId="602B5C30" w:rsidR="000E044E" w:rsidRDefault="006770EE" w:rsidP="00912F54">
      <w:r>
        <w:t>During 2012</w:t>
      </w:r>
      <w:r w:rsidR="00455542">
        <w:noBreakHyphen/>
      </w:r>
      <w:r w:rsidR="00A34421">
        <w:t>13,</w:t>
      </w:r>
      <w:r w:rsidR="00912F54">
        <w:t xml:space="preserve"> Commonwealth</w:t>
      </w:r>
      <w:r w:rsidR="00A34421">
        <w:t>,</w:t>
      </w:r>
      <w:r w:rsidR="00912F54">
        <w:t xml:space="preserve"> state and territory </w:t>
      </w:r>
      <w:r w:rsidR="00A34421">
        <w:t>consumer agencies</w:t>
      </w:r>
      <w:r w:rsidR="00912F54">
        <w:t xml:space="preserve"> partnered to undertake national surveillance programs and investigate non</w:t>
      </w:r>
      <w:r w:rsidR="00455542">
        <w:noBreakHyphen/>
      </w:r>
      <w:r w:rsidR="00912F54">
        <w:t>compliance in the marketplace</w:t>
      </w:r>
      <w:r w:rsidR="00BB475A">
        <w:t xml:space="preserve"> (see Case study 1</w:t>
      </w:r>
      <w:r w:rsidR="009A4C04">
        <w:t>5</w:t>
      </w:r>
      <w:r w:rsidR="00BB475A">
        <w:t>)</w:t>
      </w:r>
      <w:r w:rsidR="00455542">
        <w:t xml:space="preserve">. </w:t>
      </w:r>
    </w:p>
    <w:p w14:paraId="2B54BBB6" w14:textId="0DC2AE27" w:rsidR="00AF6068" w:rsidRDefault="00A34421" w:rsidP="00533FEC">
      <w:r>
        <w:t>Over 3,300 retailers — including internet</w:t>
      </w:r>
      <w:r w:rsidR="00455542">
        <w:noBreakHyphen/>
      </w:r>
      <w:r>
        <w:t>based traders Australia</w:t>
      </w:r>
      <w:r w:rsidR="00455542">
        <w:noBreakHyphen/>
      </w:r>
      <w:r>
        <w:t xml:space="preserve">wide — were surveyed across a range of products including </w:t>
      </w:r>
      <w:r w:rsidR="00912F54">
        <w:t xml:space="preserve">toys for children aged under three, toys containing lead and other heavy metals, aquatic toys, projectile toys, bicycles, </w:t>
      </w:r>
      <w:proofErr w:type="spellStart"/>
      <w:r>
        <w:t>showbags</w:t>
      </w:r>
      <w:proofErr w:type="spellEnd"/>
      <w:r>
        <w:t>,</w:t>
      </w:r>
      <w:r w:rsidR="00912F54">
        <w:t xml:space="preserve"> nursery</w:t>
      </w:r>
      <w:r w:rsidR="00455542">
        <w:noBreakHyphen/>
      </w:r>
      <w:r w:rsidR="00912F54">
        <w:t>related products and banned products</w:t>
      </w:r>
      <w:r w:rsidR="00455542">
        <w:t xml:space="preserve">. </w:t>
      </w:r>
      <w:r>
        <w:t>O</w:t>
      </w:r>
      <w:r w:rsidR="00912F54">
        <w:t>ver 1</w:t>
      </w:r>
      <w:r>
        <w:t>,</w:t>
      </w:r>
      <w:r w:rsidR="00912F54">
        <w:t>500 tests for lead and heavy metals in to</w:t>
      </w:r>
      <w:r>
        <w:t>ys were conducted. More than 94,</w:t>
      </w:r>
      <w:r w:rsidR="00912F54">
        <w:t>000 product lines were surveyed, resulting in recalls and the removal from sale</w:t>
      </w:r>
      <w:r>
        <w:t xml:space="preserve"> or seizure of approximately 30,</w:t>
      </w:r>
      <w:r w:rsidR="00912F54">
        <w:t>000 products</w:t>
      </w:r>
      <w:r w:rsidR="003465E4">
        <w:t>.</w:t>
      </w:r>
    </w:p>
    <w:p w14:paraId="2B54BBB7" w14:textId="77777777" w:rsidR="00AF6068" w:rsidRDefault="00541634" w:rsidP="00B70D91">
      <w:r>
        <w:t xml:space="preserve">Additionally, the Federal Court upheld state and territory agencies’ right to take legal action in product safety related matters </w:t>
      </w:r>
      <w:r w:rsidR="007746DB">
        <w:t>under the ACL (see Case study 1</w:t>
      </w:r>
      <w:r w:rsidR="009A4C04">
        <w:t>6</w:t>
      </w:r>
      <w:r>
        <w:t>).</w:t>
      </w:r>
    </w:p>
    <w:tbl>
      <w:tblPr>
        <w:tblStyle w:val="TableGrid"/>
        <w:tblW w:w="0" w:type="auto"/>
        <w:tblLook w:val="04A0" w:firstRow="1" w:lastRow="0" w:firstColumn="1" w:lastColumn="0" w:noHBand="0" w:noVBand="1"/>
      </w:tblPr>
      <w:tblGrid>
        <w:gridCol w:w="9286"/>
      </w:tblGrid>
      <w:tr w:rsidR="00182A7B" w14:paraId="2B54BBC0" w14:textId="77777777" w:rsidTr="00182A7B">
        <w:tc>
          <w:tcPr>
            <w:tcW w:w="9286" w:type="dxa"/>
          </w:tcPr>
          <w:p w14:paraId="2B54BBB8" w14:textId="77777777" w:rsidR="00182A7B" w:rsidRPr="00322A06" w:rsidRDefault="00182A7B" w:rsidP="003D4893">
            <w:pPr>
              <w:pStyle w:val="BoxHeading"/>
            </w:pPr>
            <w:r w:rsidRPr="00322A06">
              <w:lastRenderedPageBreak/>
              <w:t xml:space="preserve">Case study </w:t>
            </w:r>
            <w:r w:rsidR="00795FCA">
              <w:t>1</w:t>
            </w:r>
            <w:r w:rsidR="009A4C04">
              <w:t>5</w:t>
            </w:r>
            <w:r w:rsidRPr="00322A06">
              <w:t xml:space="preserve"> — Safety regulators dealing with urgent emerging safety issues</w:t>
            </w:r>
          </w:p>
          <w:p w14:paraId="2B54BBB9" w14:textId="15209B7A" w:rsidR="00182A7B" w:rsidRDefault="00182A7B" w:rsidP="003D4893">
            <w:pPr>
              <w:pStyle w:val="BoxText"/>
            </w:pPr>
            <w:r>
              <w:t>The ACL provides Commonwealth, and state and territory consumer agencies with a variety of tools — including interim bans which can be in effect for 120 days — that can be used in circumstances where a timely and consistent intervention is necessary to ensure the safety of the community</w:t>
            </w:r>
            <w:r w:rsidR="00455542">
              <w:t xml:space="preserve">. </w:t>
            </w:r>
            <w:r>
              <w:t>The Commonwealth Minister may impose permanent bans on unsafe goods, provided affected parties are afforded the opportunity to discuss any proposed ban.</w:t>
            </w:r>
          </w:p>
          <w:p w14:paraId="2B54BBBA" w14:textId="41FF3AA0" w:rsidR="00182A7B" w:rsidRPr="00185A0E" w:rsidRDefault="00182A7B" w:rsidP="003D4893">
            <w:pPr>
              <w:pStyle w:val="BoxText"/>
            </w:pPr>
            <w:r>
              <w:t xml:space="preserve">These </w:t>
            </w:r>
            <w:r w:rsidRPr="00785B83">
              <w:t>power</w:t>
            </w:r>
            <w:r>
              <w:t>s</w:t>
            </w:r>
            <w:r w:rsidRPr="00785B83">
              <w:t xml:space="preserve"> </w:t>
            </w:r>
            <w:r>
              <w:t xml:space="preserve">were used in 2012–13 </w:t>
            </w:r>
            <w:r w:rsidRPr="00785B83">
              <w:t xml:space="preserve">to </w:t>
            </w:r>
            <w:r>
              <w:t>ensure that hazards posed by unsafe small powerful magnets were removed from the marketplace</w:t>
            </w:r>
            <w:r w:rsidR="00455542">
              <w:t xml:space="preserve">. </w:t>
            </w:r>
            <w:r>
              <w:t>On 2 July 2013 the Commonwealth Minister published a Safety Warning Notice providing Australian citizens with a warning about</w:t>
            </w:r>
            <w:r w:rsidRPr="00185A0E">
              <w:t xml:space="preserve"> adult novelty products that contain small </w:t>
            </w:r>
            <w:r>
              <w:t>high</w:t>
            </w:r>
            <w:r w:rsidR="00455542">
              <w:noBreakHyphen/>
            </w:r>
            <w:r>
              <w:t>powered rare</w:t>
            </w:r>
            <w:r w:rsidR="00455542">
              <w:noBreakHyphen/>
            </w:r>
            <w:r>
              <w:t>earth magnets</w:t>
            </w:r>
            <w:r w:rsidRPr="00185A0E">
              <w:t>.</w:t>
            </w:r>
          </w:p>
          <w:p w14:paraId="2B54BBBB" w14:textId="77777777" w:rsidR="00182A7B" w:rsidRDefault="00182A7B" w:rsidP="003D4893">
            <w:pPr>
              <w:pStyle w:val="BoxText"/>
            </w:pPr>
            <w:r>
              <w:t xml:space="preserve">On 22 August 2013, </w:t>
            </w:r>
            <w:r w:rsidR="00D76C00">
              <w:t>the</w:t>
            </w:r>
            <w:r>
              <w:t xml:space="preserve"> PSCC identified and assessed the hazards associated with small powerful magnets,</w:t>
            </w:r>
            <w:r w:rsidR="004E5E92">
              <w:t xml:space="preserve"> and</w:t>
            </w:r>
            <w:r>
              <w:t xml:space="preserve"> the Commonwealth Minister signalled his intention to introduce a national permanent ban</w:t>
            </w:r>
            <w:r w:rsidRPr="00AD68C5">
              <w:t xml:space="preserve"> </w:t>
            </w:r>
            <w:r>
              <w:t xml:space="preserve">on small high powered magnets. </w:t>
            </w:r>
          </w:p>
          <w:p w14:paraId="2B54BBBC" w14:textId="34839D04" w:rsidR="00182A7B" w:rsidRDefault="00182A7B" w:rsidP="003D4893">
            <w:pPr>
              <w:pStyle w:val="BoxText"/>
            </w:pPr>
            <w:r>
              <w:t xml:space="preserve">On 23 August 2013, </w:t>
            </w:r>
            <w:r w:rsidR="007023C8">
              <w:t xml:space="preserve">most </w:t>
            </w:r>
            <w:r>
              <w:t>state and territory safety regulators introduced an interim ban under the ACL</w:t>
            </w:r>
            <w:r w:rsidR="00455542">
              <w:t xml:space="preserve">. </w:t>
            </w:r>
            <w:r>
              <w:t>The timing of the intr</w:t>
            </w:r>
            <w:r w:rsidR="00526224">
              <w:t>oduction of interim bans was co</w:t>
            </w:r>
            <w:r>
              <w:t>ordinated to facilitate the Commonwealth Minister’s obligation under the ACL to give suppliers an opportunity to request a conference to discuss the proposed ban. Several suppliers took advantage of this invitation. This conference allowed the ACCC to further refine the interim ban so that those products which were identified in injury data were removed from sale in Australia.</w:t>
            </w:r>
          </w:p>
          <w:p w14:paraId="2B54BBBD" w14:textId="77777777" w:rsidR="00182A7B" w:rsidRDefault="00182A7B" w:rsidP="003D4893">
            <w:pPr>
              <w:pStyle w:val="BoxText"/>
            </w:pPr>
            <w:r>
              <w:t>On 9 November 2012, after having considered advice from the ACCC arising from the supplier conference</w:t>
            </w:r>
            <w:r w:rsidR="004E5E92">
              <w:t>,</w:t>
            </w:r>
            <w:r>
              <w:t xml:space="preserve"> the Commonwealth Minister signed a permanent ban on the supply of certain magnetic products.</w:t>
            </w:r>
            <w:r w:rsidRPr="00AD68C5">
              <w:t xml:space="preserve"> </w:t>
            </w:r>
            <w:r>
              <w:t>The national</w:t>
            </w:r>
            <w:r w:rsidRPr="00AD68C5">
              <w:t xml:space="preserve"> permanent ban on small, high powered magnets came into effect on 15 November 2012.</w:t>
            </w:r>
          </w:p>
          <w:p w14:paraId="2B54BBBE" w14:textId="74553D0F" w:rsidR="00182A7B" w:rsidRDefault="00182A7B" w:rsidP="003D4893">
            <w:pPr>
              <w:pStyle w:val="BoxText"/>
            </w:pPr>
            <w:r>
              <w:t>This example demonstrates the way in which state and territory powers c</w:t>
            </w:r>
            <w:r w:rsidR="004E5E92">
              <w:t>an be used effectively to comple</w:t>
            </w:r>
            <w:r>
              <w:t>ment Commonwealth powers. In addition the consistent application of interim arrangements is a significant achievement, demonstrating effective collaboration of jurisdictions through the PSCC</w:t>
            </w:r>
            <w:r w:rsidR="00455542">
              <w:t xml:space="preserve">. </w:t>
            </w:r>
            <w:r>
              <w:t xml:space="preserve">Prior to the ACL, inconsistent use of these powers had resulted in a patchwork </w:t>
            </w:r>
            <w:r w:rsidR="00D76C00">
              <w:t>approach to</w:t>
            </w:r>
            <w:r>
              <w:t xml:space="preserve"> regulation. </w:t>
            </w:r>
          </w:p>
          <w:p w14:paraId="2B54BBBF" w14:textId="77777777" w:rsidR="00182A7B" w:rsidRDefault="004F0F7D" w:rsidP="00041103">
            <w:pPr>
              <w:spacing w:after="0" w:line="240" w:lineRule="auto"/>
              <w:jc w:val="center"/>
            </w:pPr>
            <w:r>
              <w:object w:dxaOrig="8640" w:dyaOrig="11865" w14:anchorId="2B54BC3B">
                <v:shape id="_x0000_i1029" type="#_x0000_t75" style="width:153pt;height:211.5pt" o:ole="">
                  <v:imagedata r:id="rId57" o:title=""/>
                </v:shape>
                <o:OLEObject Type="Embed" ProgID="PBrush" ShapeID="_x0000_i1029" DrawAspect="Content" ObjectID="_1445348220" r:id="rId58"/>
              </w:object>
            </w:r>
            <w:r>
              <w:t xml:space="preserve">    </w:t>
            </w:r>
            <w:r>
              <w:object w:dxaOrig="8595" w:dyaOrig="12015" w14:anchorId="2B54BC3C">
                <v:shape id="_x0000_i1030" type="#_x0000_t75" style="width:150.75pt;height:211.5pt" o:ole="">
                  <v:imagedata r:id="rId59" o:title=""/>
                </v:shape>
                <o:OLEObject Type="Embed" ProgID="PBrush" ShapeID="_x0000_i1030" DrawAspect="Content" ObjectID="_1445348221" r:id="rId60"/>
              </w:object>
            </w:r>
            <w:r w:rsidDel="004F0F7D">
              <w:rPr>
                <w:noProof/>
              </w:rPr>
              <w:t xml:space="preserve"> </w:t>
            </w:r>
            <w:r w:rsidR="00182A7B">
              <w:br/>
            </w:r>
            <w:r w:rsidR="00AD6DE8" w:rsidRPr="009C6840">
              <w:rPr>
                <w:rFonts w:ascii="Arial" w:hAnsi="Arial"/>
                <w:sz w:val="16"/>
              </w:rPr>
              <w:t>Source:</w:t>
            </w:r>
            <w:r w:rsidR="009F7C58" w:rsidRPr="00041103">
              <w:rPr>
                <w:rFonts w:ascii="Arial" w:hAnsi="Arial"/>
                <w:sz w:val="16"/>
              </w:rPr>
              <w:t xml:space="preserve"> </w:t>
            </w:r>
            <w:r w:rsidRPr="009F7C58">
              <w:rPr>
                <w:rFonts w:ascii="Arial" w:hAnsi="Arial"/>
                <w:sz w:val="16"/>
              </w:rPr>
              <w:t>http://www</w:t>
            </w:r>
            <w:r w:rsidRPr="004F0F7D">
              <w:rPr>
                <w:rFonts w:ascii="Arial" w:hAnsi="Arial"/>
                <w:sz w:val="16"/>
              </w:rPr>
              <w:t>.productsafety.gov.au</w:t>
            </w:r>
            <w:r>
              <w:rPr>
                <w:rFonts w:ascii="Arial" w:hAnsi="Arial"/>
                <w:sz w:val="16"/>
              </w:rPr>
              <w:br/>
            </w:r>
          </w:p>
        </w:tc>
      </w:tr>
    </w:tbl>
    <w:p w14:paraId="2B54BBC1" w14:textId="77777777" w:rsidR="00BC785B" w:rsidRDefault="00322A06">
      <w:pPr>
        <w:spacing w:after="0" w:line="240" w:lineRule="auto"/>
      </w:pPr>
      <w:r>
        <w:br w:type="page"/>
      </w:r>
    </w:p>
    <w:tbl>
      <w:tblPr>
        <w:tblStyle w:val="TableGrid"/>
        <w:tblW w:w="0" w:type="auto"/>
        <w:tblLook w:val="04A0" w:firstRow="1" w:lastRow="0" w:firstColumn="1" w:lastColumn="0" w:noHBand="0" w:noVBand="1"/>
      </w:tblPr>
      <w:tblGrid>
        <w:gridCol w:w="9286"/>
      </w:tblGrid>
      <w:tr w:rsidR="00BC785B" w14:paraId="2B54BBC7" w14:textId="77777777" w:rsidTr="00B70D91">
        <w:tc>
          <w:tcPr>
            <w:tcW w:w="9286" w:type="dxa"/>
          </w:tcPr>
          <w:p w14:paraId="2B54BBC2" w14:textId="77777777" w:rsidR="00BC785B" w:rsidRPr="00322A06" w:rsidRDefault="00BC785B" w:rsidP="003D4893">
            <w:pPr>
              <w:pStyle w:val="BoxHeading"/>
            </w:pPr>
            <w:r w:rsidRPr="00322A06">
              <w:lastRenderedPageBreak/>
              <w:t xml:space="preserve">Case study </w:t>
            </w:r>
            <w:r w:rsidR="007746DB">
              <w:t>1</w:t>
            </w:r>
            <w:r w:rsidR="009A4C04">
              <w:t>6</w:t>
            </w:r>
            <w:r w:rsidRPr="00322A06">
              <w:t xml:space="preserve"> — </w:t>
            </w:r>
            <w:r w:rsidR="00E25C59">
              <w:t>National enforcement of product safety laws</w:t>
            </w:r>
          </w:p>
          <w:p w14:paraId="2B54BBC3" w14:textId="773F8B9B" w:rsidR="00B4160E" w:rsidRDefault="00B4160E" w:rsidP="003D4893">
            <w:pPr>
              <w:pStyle w:val="BoxText"/>
            </w:pPr>
            <w:r>
              <w:t xml:space="preserve">In June 2013, the Director of Consumer Affairs Victoria’s (CAV) right to take action in the Federal Court for contraventions of the ACL was upheld, enabling proceedings against </w:t>
            </w:r>
            <w:proofErr w:type="spellStart"/>
            <w:r>
              <w:t>Dimmeys</w:t>
            </w:r>
            <w:proofErr w:type="spellEnd"/>
            <w:r>
              <w:t xml:space="preserve"> Stores Pty Ltd and others for breaches of product safety laws</w:t>
            </w:r>
            <w:r w:rsidR="00455542">
              <w:t xml:space="preserve">. </w:t>
            </w:r>
          </w:p>
          <w:p w14:paraId="2B54BBC4" w14:textId="77777777" w:rsidR="00B4160E" w:rsidRDefault="00B4160E" w:rsidP="003D4893">
            <w:pPr>
              <w:pStyle w:val="BoxText"/>
            </w:pPr>
            <w:r w:rsidRPr="00B4160E">
              <w:t xml:space="preserve">Counsel for </w:t>
            </w:r>
            <w:proofErr w:type="spellStart"/>
            <w:r w:rsidRPr="00B4160E">
              <w:t>Dimmeys</w:t>
            </w:r>
            <w:proofErr w:type="spellEnd"/>
            <w:r w:rsidRPr="00B4160E">
              <w:t xml:space="preserve"> Stores Pty Ltd and the other respondents argued that the Director of </w:t>
            </w:r>
            <w:r>
              <w:t>CAV</w:t>
            </w:r>
            <w:r w:rsidRPr="00B4160E">
              <w:t xml:space="preserve">, as the regulator under the ACL (Victoria), did not have standing to bring proceedings </w:t>
            </w:r>
            <w:r w:rsidR="00833FA3">
              <w:t>for an injunction under the ACL in the Federal Court</w:t>
            </w:r>
            <w:r w:rsidRPr="00B4160E">
              <w:t xml:space="preserve"> and therefore that</w:t>
            </w:r>
            <w:r w:rsidR="00833FA3">
              <w:t xml:space="preserve"> the</w:t>
            </w:r>
            <w:r w:rsidRPr="00B4160E">
              <w:t xml:space="preserve"> court did not have jurisdiction to hear and determine the Director’s application.</w:t>
            </w:r>
          </w:p>
          <w:p w14:paraId="2B54BBC5" w14:textId="27D3083B" w:rsidR="00B4160E" w:rsidRDefault="00B4160E" w:rsidP="003D4893">
            <w:pPr>
              <w:pStyle w:val="BoxText"/>
            </w:pPr>
            <w:r>
              <w:t>This is the first case that CAV has taken in the Federal Court</w:t>
            </w:r>
            <w:r w:rsidR="00455542">
              <w:t xml:space="preserve">. </w:t>
            </w:r>
            <w:r>
              <w:t xml:space="preserve">CAV are alleging that </w:t>
            </w:r>
            <w:proofErr w:type="spellStart"/>
            <w:r>
              <w:t>Dimmeys</w:t>
            </w:r>
            <w:proofErr w:type="spellEnd"/>
            <w:r>
              <w:t xml:space="preserve"> </w:t>
            </w:r>
            <w:r w:rsidR="00833FA3">
              <w:t xml:space="preserve">Stores Pty Ltd </w:t>
            </w:r>
            <w:r>
              <w:t xml:space="preserve">and </w:t>
            </w:r>
            <w:proofErr w:type="spellStart"/>
            <w:r>
              <w:t>Starite</w:t>
            </w:r>
            <w:proofErr w:type="spellEnd"/>
            <w:r>
              <w:t xml:space="preserve"> Distributors Pty Ltd breached product safety laws in Victoria and New South Wales through the supply, offer to supply, or possession for business purposes of more than 18,000 items of girls’ padded swimwear, baby bath squeeze toy sets, cosmetic sets and basketball rings</w:t>
            </w:r>
            <w:r w:rsidR="00455542">
              <w:t xml:space="preserve">. </w:t>
            </w:r>
          </w:p>
          <w:p w14:paraId="2B54BBC6" w14:textId="30096FF2" w:rsidR="00BC785B" w:rsidRDefault="00B4160E" w:rsidP="003D4893">
            <w:pPr>
              <w:pStyle w:val="BoxText"/>
            </w:pPr>
            <w:proofErr w:type="spellStart"/>
            <w:r>
              <w:t>Dimmeys</w:t>
            </w:r>
            <w:proofErr w:type="spellEnd"/>
            <w:r>
              <w:t xml:space="preserve"> Stores Pty Ltd has breached product safety laws on four previous occasions and </w:t>
            </w:r>
            <w:proofErr w:type="spellStart"/>
            <w:r>
              <w:t>Starite</w:t>
            </w:r>
            <w:proofErr w:type="spellEnd"/>
            <w:r w:rsidR="00833FA3">
              <w:t xml:space="preserve"> Distributors Pty Ltd</w:t>
            </w:r>
            <w:r>
              <w:t>, was involved in the alleged contraventions</w:t>
            </w:r>
            <w:r w:rsidR="00455542">
              <w:t xml:space="preserve">. </w:t>
            </w:r>
            <w:r>
              <w:t xml:space="preserve">His Honour Justice Marshall has confirmed that the Director of </w:t>
            </w:r>
            <w:r w:rsidR="008305A6">
              <w:t>CAV</w:t>
            </w:r>
            <w:r>
              <w:t xml:space="preserve"> has standing to bring proceedings in the Federal Court under the ACL.</w:t>
            </w:r>
          </w:p>
        </w:tc>
      </w:tr>
    </w:tbl>
    <w:p w14:paraId="2B54BBC8" w14:textId="77777777" w:rsidR="00F578AE" w:rsidRDefault="00F578AE">
      <w:pPr>
        <w:spacing w:after="0" w:line="240" w:lineRule="auto"/>
      </w:pPr>
      <w:r>
        <w:br w:type="page"/>
      </w:r>
    </w:p>
    <w:p w14:paraId="2B54BBC9" w14:textId="77777777" w:rsidR="00F910C3" w:rsidRPr="00C613D0" w:rsidRDefault="00F910C3" w:rsidP="0055275F">
      <w:pPr>
        <w:pStyle w:val="Heading1"/>
      </w:pPr>
      <w:bookmarkStart w:id="97" w:name="_Toc342299542"/>
      <w:bookmarkStart w:id="98" w:name="_Toc342381504"/>
      <w:bookmarkStart w:id="99" w:name="_Toc370468075"/>
      <w:r>
        <w:lastRenderedPageBreak/>
        <w:t xml:space="preserve">Appendix 1 — </w:t>
      </w:r>
      <w:r w:rsidRPr="00C613D0">
        <w:t>Australia’s consumer policy framework</w:t>
      </w:r>
      <w:bookmarkEnd w:id="97"/>
      <w:bookmarkEnd w:id="98"/>
      <w:bookmarkEnd w:id="99"/>
    </w:p>
    <w:tbl>
      <w:tblPr>
        <w:tblStyle w:val="TableGrid"/>
        <w:tblW w:w="0" w:type="auto"/>
        <w:tblLook w:val="04A0" w:firstRow="1" w:lastRow="0" w:firstColumn="1" w:lastColumn="0" w:noHBand="0" w:noVBand="1"/>
      </w:tblPr>
      <w:tblGrid>
        <w:gridCol w:w="9286"/>
      </w:tblGrid>
      <w:tr w:rsidR="00F910C3" w14:paraId="2B54BBCC" w14:textId="77777777" w:rsidTr="00F910C3">
        <w:tc>
          <w:tcPr>
            <w:tcW w:w="9286" w:type="dxa"/>
          </w:tcPr>
          <w:p w14:paraId="2B54BBCA" w14:textId="77777777" w:rsidR="00F910C3" w:rsidRDefault="00EB7AB7" w:rsidP="003D4893">
            <w:pPr>
              <w:pStyle w:val="BoxHeading"/>
            </w:pPr>
            <w:r w:rsidRPr="00EB7AB7">
              <w:t>Summary</w:t>
            </w:r>
          </w:p>
          <w:p w14:paraId="2B54BBCB" w14:textId="77777777" w:rsidR="00EB7AB7" w:rsidRDefault="00EB7AB7" w:rsidP="003D4893">
            <w:pPr>
              <w:pStyle w:val="BoxText"/>
            </w:pPr>
            <w:r w:rsidRPr="00C613D0">
              <w:t>To support the ACL, Australia’s governments and consumer agencies have made formal agreements and administrative arrangements to provide for a cooperative and coordinated approach to the enforcement and policy development of the ACL.</w:t>
            </w:r>
          </w:p>
        </w:tc>
      </w:tr>
    </w:tbl>
    <w:p w14:paraId="2B54BBCD" w14:textId="77777777" w:rsidR="00912F54" w:rsidRDefault="00EB7AB7" w:rsidP="00EB7AB7">
      <w:pPr>
        <w:pStyle w:val="Heading2"/>
      </w:pPr>
      <w:bookmarkStart w:id="100" w:name="_Toc342299544"/>
      <w:bookmarkStart w:id="101" w:name="_Toc342381505"/>
      <w:bookmarkStart w:id="102" w:name="_Toc370468076"/>
      <w:r w:rsidRPr="00C613D0">
        <w:t>The National Consumer Policy Objective</w:t>
      </w:r>
      <w:bookmarkEnd w:id="100"/>
      <w:bookmarkEnd w:id="101"/>
      <w:bookmarkEnd w:id="102"/>
    </w:p>
    <w:p w14:paraId="2B54BBCE" w14:textId="77777777" w:rsidR="00EB7AB7" w:rsidRPr="0024783B" w:rsidRDefault="00EB7AB7" w:rsidP="00EB7AB7">
      <w:r w:rsidRPr="0024783B">
        <w:t xml:space="preserve">Australia’s consumer policy framework is informed by the </w:t>
      </w:r>
      <w:r w:rsidRPr="0024783B">
        <w:rPr>
          <w:i/>
        </w:rPr>
        <w:t>National Consumer Policy Objective</w:t>
      </w:r>
      <w:r w:rsidRPr="0024783B">
        <w:t xml:space="preserve">, which was agreed by </w:t>
      </w:r>
      <w:r w:rsidR="005F5607">
        <w:t xml:space="preserve">the </w:t>
      </w:r>
      <w:r w:rsidRPr="0024783B">
        <w:t>M</w:t>
      </w:r>
      <w:r w:rsidR="005F5607">
        <w:t xml:space="preserve">inisterial </w:t>
      </w:r>
      <w:r w:rsidRPr="0024783B">
        <w:t>C</w:t>
      </w:r>
      <w:r w:rsidR="005F5607">
        <w:t xml:space="preserve">ouncil on </w:t>
      </w:r>
      <w:r w:rsidRPr="0024783B">
        <w:t>C</w:t>
      </w:r>
      <w:r w:rsidR="005F5607">
        <w:t xml:space="preserve">onsumer </w:t>
      </w:r>
      <w:r w:rsidRPr="0024783B">
        <w:t>A</w:t>
      </w:r>
      <w:r w:rsidR="005F5607">
        <w:t>ffairs (MCCA)</w:t>
      </w:r>
      <w:r w:rsidRPr="0024783B">
        <w:rPr>
          <w:rStyle w:val="FootnoteReference"/>
        </w:rPr>
        <w:footnoteReference w:id="3"/>
      </w:r>
      <w:r w:rsidRPr="0024783B">
        <w:t xml:space="preserve"> on 3</w:t>
      </w:r>
      <w:r w:rsidR="005F5607">
        <w:t> </w:t>
      </w:r>
      <w:r w:rsidRPr="0024783B">
        <w:t>December</w:t>
      </w:r>
      <w:r w:rsidR="005F5607">
        <w:t> </w:t>
      </w:r>
      <w:r w:rsidRPr="0024783B">
        <w:t xml:space="preserve">2009. The </w:t>
      </w:r>
      <w:r w:rsidRPr="008305A6">
        <w:rPr>
          <w:i/>
        </w:rPr>
        <w:t>National Consumer Policy Objective</w:t>
      </w:r>
      <w:r w:rsidRPr="0024783B">
        <w:t xml:space="preserve"> is:</w:t>
      </w:r>
    </w:p>
    <w:p w14:paraId="2B54BBCF" w14:textId="77777777" w:rsidR="00EB7AB7" w:rsidRPr="0024783B" w:rsidRDefault="00EB7AB7" w:rsidP="00EB7AB7">
      <w:pPr>
        <w:pStyle w:val="Quote"/>
      </w:pPr>
      <w:r w:rsidRPr="0024783B">
        <w:t>[t]o improve consumer wellbeing through consumer empowerment and protection, fostering effective competition and enabling confident participation of consumers in markets in which both consumers and suppliers trade fairly.</w:t>
      </w:r>
      <w:r w:rsidRPr="0024783B">
        <w:rPr>
          <w:rStyle w:val="FootnoteReference"/>
        </w:rPr>
        <w:footnoteReference w:id="4"/>
      </w:r>
    </w:p>
    <w:p w14:paraId="2B54BBD0" w14:textId="77777777" w:rsidR="00EB7AB7" w:rsidRPr="00C613D0" w:rsidRDefault="00EB7AB7" w:rsidP="00EB7AB7">
      <w:r w:rsidRPr="00C613D0">
        <w:t>The Objective is supported by six operational objectives</w:t>
      </w:r>
      <w:r>
        <w:t xml:space="preserve"> (see Figure 2 for the implementation of these objectives by CAANZ committees)</w:t>
      </w:r>
      <w:r w:rsidRPr="00C613D0">
        <w:t>:</w:t>
      </w:r>
    </w:p>
    <w:p w14:paraId="2B54BBD1" w14:textId="72E4945E" w:rsidR="00EB7AB7" w:rsidRPr="00C613D0" w:rsidRDefault="00EB7AB7" w:rsidP="00EB7AB7">
      <w:pPr>
        <w:pStyle w:val="Bullet"/>
      </w:pPr>
      <w:r w:rsidRPr="00C613D0">
        <w:t>to ensure that consumers are sufficiently well</w:t>
      </w:r>
      <w:r w:rsidR="00455542">
        <w:noBreakHyphen/>
      </w:r>
      <w:r w:rsidRPr="00C613D0">
        <w:t>informed to benefit from and stimulate effective competition;</w:t>
      </w:r>
    </w:p>
    <w:p w14:paraId="2B54BBD2" w14:textId="77777777" w:rsidR="00EB7AB7" w:rsidRPr="00C613D0" w:rsidRDefault="00EB7AB7" w:rsidP="00EB7AB7">
      <w:pPr>
        <w:pStyle w:val="Bullet"/>
      </w:pPr>
      <w:r w:rsidRPr="00C613D0">
        <w:t>to ensure that goods and services are safe and fit for the purposes for which they were sold;</w:t>
      </w:r>
    </w:p>
    <w:p w14:paraId="2B54BBD3" w14:textId="77777777" w:rsidR="00EB7AB7" w:rsidRPr="00C613D0" w:rsidRDefault="00EB7AB7" w:rsidP="00EB7AB7">
      <w:pPr>
        <w:pStyle w:val="Bullet"/>
      </w:pPr>
      <w:r w:rsidRPr="00C613D0">
        <w:t>to prevent practices that are unfair;</w:t>
      </w:r>
    </w:p>
    <w:p w14:paraId="2B54BBD4" w14:textId="77777777" w:rsidR="00EB7AB7" w:rsidRPr="00C613D0" w:rsidRDefault="00EB7AB7" w:rsidP="00EB7AB7">
      <w:pPr>
        <w:pStyle w:val="Bullet"/>
      </w:pPr>
      <w:r w:rsidRPr="00C613D0">
        <w:t>to meet the needs of those consumers who are most vulnerable or are at the greatest disadvantage;</w:t>
      </w:r>
    </w:p>
    <w:p w14:paraId="2B54BBD5" w14:textId="77777777" w:rsidR="00EB7AB7" w:rsidRPr="00C613D0" w:rsidRDefault="00EB7AB7" w:rsidP="00EB7AB7">
      <w:pPr>
        <w:pStyle w:val="Bullet"/>
      </w:pPr>
      <w:r w:rsidRPr="00C613D0">
        <w:t>to provide accessible and timely redress where consumer detriment has occurred; and</w:t>
      </w:r>
    </w:p>
    <w:p w14:paraId="2B54BBD6" w14:textId="5995DB99" w:rsidR="00EB7AB7" w:rsidRPr="00C613D0" w:rsidRDefault="00EB7AB7" w:rsidP="00EB7AB7">
      <w:pPr>
        <w:pStyle w:val="Bullet"/>
      </w:pPr>
      <w:proofErr w:type="gramStart"/>
      <w:r w:rsidRPr="00C613D0">
        <w:t>to</w:t>
      </w:r>
      <w:proofErr w:type="gramEnd"/>
      <w:r w:rsidRPr="00C613D0">
        <w:t xml:space="preserve"> promote proportionate, risk</w:t>
      </w:r>
      <w:r w:rsidR="00455542">
        <w:noBreakHyphen/>
      </w:r>
      <w:r w:rsidRPr="00C613D0">
        <w:t>based enforcement.</w:t>
      </w:r>
    </w:p>
    <w:p w14:paraId="2B54BBD7" w14:textId="77777777" w:rsidR="00EB7AB7" w:rsidRDefault="00EB7AB7">
      <w:pPr>
        <w:spacing w:after="0" w:line="240" w:lineRule="auto"/>
      </w:pPr>
      <w:r>
        <w:br w:type="page"/>
      </w:r>
    </w:p>
    <w:p w14:paraId="2B54BBD8" w14:textId="77777777" w:rsidR="00EB7AB7" w:rsidRDefault="00EB7AB7" w:rsidP="00EB7AB7">
      <w:pPr>
        <w:pStyle w:val="Heading3"/>
      </w:pPr>
      <w:bookmarkStart w:id="103" w:name="_Toc342299545"/>
      <w:bookmarkStart w:id="104" w:name="_Toc342381506"/>
      <w:bookmarkStart w:id="105" w:name="_Toc370468077"/>
      <w:r>
        <w:lastRenderedPageBreak/>
        <w:t>Figure 2: Alignment of operational objectives with CAANZ committees</w:t>
      </w:r>
      <w:bookmarkEnd w:id="103"/>
      <w:bookmarkEnd w:id="104"/>
      <w:bookmarkEnd w:id="105"/>
    </w:p>
    <w:tbl>
      <w:tblPr>
        <w:tblStyle w:val="LightShading-Accent3"/>
        <w:tblW w:w="5019" w:type="pct"/>
        <w:jc w:val="center"/>
        <w:tblLook w:val="04A0" w:firstRow="1" w:lastRow="0" w:firstColumn="1" w:lastColumn="0" w:noHBand="0" w:noVBand="1"/>
      </w:tblPr>
      <w:tblGrid>
        <w:gridCol w:w="1928"/>
        <w:gridCol w:w="2435"/>
        <w:gridCol w:w="2410"/>
        <w:gridCol w:w="2548"/>
      </w:tblGrid>
      <w:tr w:rsidR="00820ECE" w14:paraId="2B54BBDD" w14:textId="77777777" w:rsidTr="009C68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D9" w14:textId="77777777" w:rsidR="00820ECE" w:rsidRPr="00302A2E" w:rsidRDefault="00820ECE" w:rsidP="00D13B49">
            <w:r w:rsidRPr="00302A2E">
              <w:t>National operational objective</w:t>
            </w:r>
          </w:p>
        </w:tc>
        <w:tc>
          <w:tcPr>
            <w:tcW w:w="1306" w:type="pct"/>
          </w:tcPr>
          <w:p w14:paraId="2B54BBDA" w14:textId="77777777" w:rsidR="00820ECE" w:rsidRPr="00302A2E" w:rsidRDefault="00820ECE" w:rsidP="00D13B49">
            <w:pPr>
              <w:cnfStyle w:val="100000000000" w:firstRow="1" w:lastRow="0" w:firstColumn="0" w:lastColumn="0" w:oddVBand="0" w:evenVBand="0" w:oddHBand="0" w:evenHBand="0" w:firstRowFirstColumn="0" w:firstRowLastColumn="0" w:lastRowFirstColumn="0" w:lastRowLastColumn="0"/>
            </w:pPr>
            <w:r w:rsidRPr="00302A2E">
              <w:t>EIAC</w:t>
            </w:r>
          </w:p>
        </w:tc>
        <w:tc>
          <w:tcPr>
            <w:tcW w:w="1293" w:type="pct"/>
          </w:tcPr>
          <w:p w14:paraId="2B54BBDB" w14:textId="77777777" w:rsidR="00820ECE" w:rsidRPr="00302A2E" w:rsidRDefault="00820ECE" w:rsidP="00D13B49">
            <w:pPr>
              <w:cnfStyle w:val="100000000000" w:firstRow="1" w:lastRow="0" w:firstColumn="0" w:lastColumn="0" w:oddVBand="0" w:evenVBand="0" w:oddHBand="0" w:evenHBand="0" w:firstRowFirstColumn="0" w:firstRowLastColumn="0" w:lastRowFirstColumn="0" w:lastRowLastColumn="0"/>
            </w:pPr>
            <w:r w:rsidRPr="00302A2E">
              <w:t>CDRAC</w:t>
            </w:r>
          </w:p>
        </w:tc>
        <w:tc>
          <w:tcPr>
            <w:tcW w:w="1368" w:type="pct"/>
          </w:tcPr>
          <w:p w14:paraId="2B54BBDC" w14:textId="77777777" w:rsidR="00820ECE" w:rsidRPr="00302A2E" w:rsidRDefault="00820ECE" w:rsidP="00D13B49">
            <w:pPr>
              <w:cnfStyle w:val="100000000000" w:firstRow="1" w:lastRow="0" w:firstColumn="0" w:lastColumn="0" w:oddVBand="0" w:evenVBand="0" w:oddHBand="0" w:evenHBand="0" w:firstRowFirstColumn="0" w:firstRowLastColumn="0" w:lastRowFirstColumn="0" w:lastRowLastColumn="0"/>
            </w:pPr>
            <w:r w:rsidRPr="00302A2E">
              <w:t>PSCC</w:t>
            </w:r>
          </w:p>
        </w:tc>
      </w:tr>
      <w:tr w:rsidR="00820ECE" w14:paraId="2B54BBE2" w14:textId="77777777" w:rsidTr="009C6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DE" w14:textId="3871B881" w:rsidR="00820ECE" w:rsidRDefault="00820ECE" w:rsidP="00D13B49">
            <w:pPr>
              <w:pStyle w:val="Bullet"/>
              <w:numPr>
                <w:ilvl w:val="0"/>
                <w:numId w:val="0"/>
              </w:numPr>
            </w:pPr>
            <w:r>
              <w:t>…</w:t>
            </w:r>
            <w:r w:rsidR="003D4893">
              <w:t xml:space="preserve"> </w:t>
            </w:r>
            <w:r>
              <w:t>ensure well informed consumers</w:t>
            </w:r>
            <w:r w:rsidR="003D4893">
              <w:t xml:space="preserve"> </w:t>
            </w:r>
            <w:r>
              <w:t>…</w:t>
            </w:r>
          </w:p>
        </w:tc>
        <w:tc>
          <w:tcPr>
            <w:tcW w:w="1306" w:type="pct"/>
          </w:tcPr>
          <w:p w14:paraId="2B54BBDF" w14:textId="77777777" w:rsidR="00820ECE" w:rsidRPr="009C6840" w:rsidRDefault="00820ECE" w:rsidP="00D13B49">
            <w:pPr>
              <w:cnfStyle w:val="000000100000" w:firstRow="0" w:lastRow="0" w:firstColumn="0" w:lastColumn="0" w:oddVBand="0" w:evenVBand="0" w:oddHBand="1" w:evenHBand="0" w:firstRowFirstColumn="0" w:firstRowLastColumn="0" w:lastRowFirstColumn="0" w:lastRowLastColumn="0"/>
            </w:pPr>
            <w:r w:rsidRPr="009C6840">
              <w:t>Improving consumer understanding of the ACL</w:t>
            </w:r>
          </w:p>
        </w:tc>
        <w:tc>
          <w:tcPr>
            <w:tcW w:w="1293" w:type="pct"/>
          </w:tcPr>
          <w:p w14:paraId="2B54BBE0" w14:textId="77777777" w:rsidR="00820ECE" w:rsidRPr="00852B2F" w:rsidRDefault="00820ECE" w:rsidP="00D13B49">
            <w:pPr>
              <w:cnfStyle w:val="000000100000" w:firstRow="0" w:lastRow="0" w:firstColumn="0" w:lastColumn="0" w:oddVBand="0" w:evenVBand="0" w:oddHBand="1" w:evenHBand="0" w:firstRowFirstColumn="0" w:firstRowLastColumn="0" w:lastRowFirstColumn="0" w:lastRowLastColumn="0"/>
              <w:rPr>
                <w:highlight w:val="magenta"/>
              </w:rPr>
            </w:pPr>
          </w:p>
        </w:tc>
        <w:tc>
          <w:tcPr>
            <w:tcW w:w="1368" w:type="pct"/>
          </w:tcPr>
          <w:p w14:paraId="2B54BBE1" w14:textId="77777777" w:rsidR="00820ECE" w:rsidRPr="00852B2F" w:rsidRDefault="00820ECE" w:rsidP="00D13B49">
            <w:pPr>
              <w:cnfStyle w:val="000000100000" w:firstRow="0" w:lastRow="0" w:firstColumn="0" w:lastColumn="0" w:oddVBand="0" w:evenVBand="0" w:oddHBand="1" w:evenHBand="0" w:firstRowFirstColumn="0" w:firstRowLastColumn="0" w:lastRowFirstColumn="0" w:lastRowLastColumn="0"/>
              <w:rPr>
                <w:highlight w:val="magenta"/>
              </w:rPr>
            </w:pPr>
          </w:p>
        </w:tc>
      </w:tr>
      <w:tr w:rsidR="00820ECE" w14:paraId="2B54BBE8" w14:textId="77777777" w:rsidTr="009C6840">
        <w:trPr>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E3" w14:textId="7DC00A25" w:rsidR="00820ECE" w:rsidRDefault="00820ECE" w:rsidP="00D13B49">
            <w:pPr>
              <w:pStyle w:val="Bullet"/>
              <w:numPr>
                <w:ilvl w:val="0"/>
                <w:numId w:val="0"/>
              </w:numPr>
              <w:rPr>
                <w:b w:val="0"/>
                <w:bCs w:val="0"/>
              </w:rPr>
            </w:pPr>
            <w:r>
              <w:t>…</w:t>
            </w:r>
            <w:r w:rsidR="003D4893">
              <w:t xml:space="preserve"> </w:t>
            </w:r>
            <w:proofErr w:type="gramStart"/>
            <w:r>
              <w:t>ensure</w:t>
            </w:r>
            <w:proofErr w:type="gramEnd"/>
            <w:r>
              <w:t xml:space="preserve"> </w:t>
            </w:r>
            <w:r w:rsidRPr="00C613D0">
              <w:t>that goods and services ar</w:t>
            </w:r>
            <w:r>
              <w:t>e safe…</w:t>
            </w:r>
          </w:p>
        </w:tc>
        <w:tc>
          <w:tcPr>
            <w:tcW w:w="1306" w:type="pct"/>
          </w:tcPr>
          <w:p w14:paraId="2B54BBE4" w14:textId="77777777" w:rsidR="00820ECE" w:rsidRPr="009C6840" w:rsidRDefault="00820ECE" w:rsidP="00D13B49">
            <w:pPr>
              <w:cnfStyle w:val="000000000000" w:firstRow="0" w:lastRow="0" w:firstColumn="0" w:lastColumn="0" w:oddVBand="0" w:evenVBand="0" w:oddHBand="0" w:evenHBand="0" w:firstRowFirstColumn="0" w:firstRowLastColumn="0" w:lastRowFirstColumn="0" w:lastRowLastColumn="0"/>
            </w:pPr>
          </w:p>
        </w:tc>
        <w:tc>
          <w:tcPr>
            <w:tcW w:w="1293" w:type="pct"/>
          </w:tcPr>
          <w:p w14:paraId="2B54BBE5" w14:textId="77777777" w:rsidR="00820ECE" w:rsidRPr="00852B2F" w:rsidRDefault="00820ECE" w:rsidP="00D13B49">
            <w:pPr>
              <w:cnfStyle w:val="000000000000" w:firstRow="0" w:lastRow="0" w:firstColumn="0" w:lastColumn="0" w:oddVBand="0" w:evenVBand="0" w:oddHBand="0" w:evenHBand="0" w:firstRowFirstColumn="0" w:firstRowLastColumn="0" w:lastRowFirstColumn="0" w:lastRowLastColumn="0"/>
              <w:rPr>
                <w:highlight w:val="magenta"/>
              </w:rPr>
            </w:pPr>
          </w:p>
        </w:tc>
        <w:tc>
          <w:tcPr>
            <w:tcW w:w="1368" w:type="pct"/>
          </w:tcPr>
          <w:p w14:paraId="2B54BBE6" w14:textId="77777777" w:rsidR="00820ECE" w:rsidRPr="00097593" w:rsidRDefault="00820ECE" w:rsidP="00820ECE">
            <w:pPr>
              <w:cnfStyle w:val="000000000000" w:firstRow="0" w:lastRow="0" w:firstColumn="0" w:lastColumn="0" w:oddVBand="0" w:evenVBand="0" w:oddHBand="0" w:evenHBand="0" w:firstRowFirstColumn="0" w:firstRowLastColumn="0" w:lastRowFirstColumn="0" w:lastRowLastColumn="0"/>
            </w:pPr>
            <w:r w:rsidRPr="00097593">
              <w:t>Coordinating national strategies to reduce the risk of product related injury and death</w:t>
            </w:r>
          </w:p>
          <w:p w14:paraId="2B54BBE7" w14:textId="77777777" w:rsidR="00820ECE" w:rsidRPr="00852B2F" w:rsidRDefault="00820ECE" w:rsidP="00820ECE">
            <w:pPr>
              <w:cnfStyle w:val="000000000000" w:firstRow="0" w:lastRow="0" w:firstColumn="0" w:lastColumn="0" w:oddVBand="0" w:evenVBand="0" w:oddHBand="0" w:evenHBand="0" w:firstRowFirstColumn="0" w:firstRowLastColumn="0" w:lastRowFirstColumn="0" w:lastRowLastColumn="0"/>
              <w:rPr>
                <w:highlight w:val="magenta"/>
              </w:rPr>
            </w:pPr>
            <w:r w:rsidRPr="00097593">
              <w:t>Achieving compliance with Australia’s product safety system</w:t>
            </w:r>
          </w:p>
        </w:tc>
      </w:tr>
      <w:tr w:rsidR="00820ECE" w14:paraId="2B54BBEE" w14:textId="77777777" w:rsidTr="009C6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E9" w14:textId="63495C28" w:rsidR="00820ECE" w:rsidRDefault="00820ECE" w:rsidP="00D13B49">
            <w:pPr>
              <w:pStyle w:val="Bullet"/>
              <w:numPr>
                <w:ilvl w:val="0"/>
                <w:numId w:val="0"/>
              </w:numPr>
            </w:pPr>
            <w:r>
              <w:t>…</w:t>
            </w:r>
            <w:r w:rsidR="00E270D0">
              <w:t xml:space="preserve"> </w:t>
            </w:r>
            <w:r w:rsidRPr="00C613D0">
              <w:t>prevent practices that are unfair</w:t>
            </w:r>
            <w:r w:rsidR="00E270D0">
              <w:t xml:space="preserve"> </w:t>
            </w:r>
            <w:r>
              <w:t>…</w:t>
            </w:r>
          </w:p>
        </w:tc>
        <w:tc>
          <w:tcPr>
            <w:tcW w:w="1306" w:type="pct"/>
          </w:tcPr>
          <w:p w14:paraId="2B54BBEA" w14:textId="77777777" w:rsidR="00820ECE" w:rsidRPr="009C6840" w:rsidRDefault="00820ECE" w:rsidP="00D13B49">
            <w:pPr>
              <w:cnfStyle w:val="000000100000" w:firstRow="0" w:lastRow="0" w:firstColumn="0" w:lastColumn="0" w:oddVBand="0" w:evenVBand="0" w:oddHBand="1" w:evenHBand="0" w:firstRowFirstColumn="0" w:firstRowLastColumn="0" w:lastRowFirstColumn="0" w:lastRowLastColumn="0"/>
            </w:pPr>
            <w:r w:rsidRPr="009C6840">
              <w:rPr>
                <w:bCs/>
              </w:rPr>
              <w:t xml:space="preserve">Supporting and promoting compliance activities </w:t>
            </w:r>
          </w:p>
        </w:tc>
        <w:tc>
          <w:tcPr>
            <w:tcW w:w="1293" w:type="pct"/>
          </w:tcPr>
          <w:p w14:paraId="2B54BBEB" w14:textId="77777777" w:rsidR="00820ECE" w:rsidRPr="009C6840" w:rsidRDefault="00820ECE" w:rsidP="00D13B49">
            <w:pPr>
              <w:cnfStyle w:val="000000100000" w:firstRow="0" w:lastRow="0" w:firstColumn="0" w:lastColumn="0" w:oddVBand="0" w:evenVBand="0" w:oddHBand="1" w:evenHBand="0" w:firstRowFirstColumn="0" w:firstRowLastColumn="0" w:lastRowFirstColumn="0" w:lastRowLastColumn="0"/>
            </w:pPr>
            <w:r w:rsidRPr="009C6840">
              <w:t>Achieving compliance with the ACL</w:t>
            </w:r>
          </w:p>
          <w:p w14:paraId="2B54BBEC" w14:textId="77777777" w:rsidR="00820ECE" w:rsidRPr="00852B2F" w:rsidRDefault="00820ECE" w:rsidP="00D13B49">
            <w:pPr>
              <w:cnfStyle w:val="000000100000" w:firstRow="0" w:lastRow="0" w:firstColumn="0" w:lastColumn="0" w:oddVBand="0" w:evenVBand="0" w:oddHBand="1" w:evenHBand="0" w:firstRowFirstColumn="0" w:firstRowLastColumn="0" w:lastRowFirstColumn="0" w:lastRowLastColumn="0"/>
              <w:rPr>
                <w:highlight w:val="magenta"/>
              </w:rPr>
            </w:pPr>
          </w:p>
        </w:tc>
        <w:tc>
          <w:tcPr>
            <w:tcW w:w="1368" w:type="pct"/>
          </w:tcPr>
          <w:p w14:paraId="2B54BBED" w14:textId="77777777" w:rsidR="00820ECE" w:rsidRPr="00041103" w:rsidRDefault="00820ECE" w:rsidP="00D13B49">
            <w:pPr>
              <w:cnfStyle w:val="000000100000" w:firstRow="0" w:lastRow="0" w:firstColumn="0" w:lastColumn="0" w:oddVBand="0" w:evenVBand="0" w:oddHBand="1" w:evenHBand="0" w:firstRowFirstColumn="0" w:firstRowLastColumn="0" w:lastRowFirstColumn="0" w:lastRowLastColumn="0"/>
            </w:pPr>
          </w:p>
        </w:tc>
      </w:tr>
      <w:tr w:rsidR="00820ECE" w14:paraId="2B54BBF3" w14:textId="77777777" w:rsidTr="009C6840">
        <w:trPr>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EF" w14:textId="23AC9B5C" w:rsidR="00820ECE" w:rsidRDefault="00820ECE" w:rsidP="00D13B49">
            <w:pPr>
              <w:pStyle w:val="Bullet"/>
              <w:numPr>
                <w:ilvl w:val="0"/>
                <w:numId w:val="0"/>
              </w:numPr>
            </w:pPr>
            <w:r>
              <w:t>…</w:t>
            </w:r>
            <w:r w:rsidR="00E270D0">
              <w:t xml:space="preserve"> </w:t>
            </w:r>
            <w:r>
              <w:t>meet the needs of vulnerable consumers</w:t>
            </w:r>
            <w:r w:rsidR="00E270D0">
              <w:t xml:space="preserve"> </w:t>
            </w:r>
            <w:r>
              <w:t>…</w:t>
            </w:r>
          </w:p>
        </w:tc>
        <w:tc>
          <w:tcPr>
            <w:tcW w:w="1306" w:type="pct"/>
          </w:tcPr>
          <w:p w14:paraId="2B54BBF0" w14:textId="77777777" w:rsidR="00820ECE" w:rsidRPr="009C6840" w:rsidRDefault="00820ECE" w:rsidP="00D13B49">
            <w:pPr>
              <w:cnfStyle w:val="000000000000" w:firstRow="0" w:lastRow="0" w:firstColumn="0" w:lastColumn="0" w:oddVBand="0" w:evenVBand="0" w:oddHBand="0" w:evenHBand="0" w:firstRowFirstColumn="0" w:firstRowLastColumn="0" w:lastRowFirstColumn="0" w:lastRowLastColumn="0"/>
            </w:pPr>
            <w:r w:rsidRPr="009C6840">
              <w:t>Assisting consumers as they engage with the marketplace</w:t>
            </w:r>
          </w:p>
        </w:tc>
        <w:tc>
          <w:tcPr>
            <w:tcW w:w="1293" w:type="pct"/>
          </w:tcPr>
          <w:p w14:paraId="2B54BBF1" w14:textId="77777777" w:rsidR="00820ECE" w:rsidRPr="00852B2F" w:rsidRDefault="00820ECE" w:rsidP="00D13B49">
            <w:pPr>
              <w:cnfStyle w:val="000000000000" w:firstRow="0" w:lastRow="0" w:firstColumn="0" w:lastColumn="0" w:oddVBand="0" w:evenVBand="0" w:oddHBand="0" w:evenHBand="0" w:firstRowFirstColumn="0" w:firstRowLastColumn="0" w:lastRowFirstColumn="0" w:lastRowLastColumn="0"/>
              <w:rPr>
                <w:highlight w:val="magenta"/>
              </w:rPr>
            </w:pPr>
            <w:r w:rsidRPr="009C6840">
              <w:t xml:space="preserve">Responding to unfair </w:t>
            </w:r>
            <w:proofErr w:type="spellStart"/>
            <w:r w:rsidRPr="009C6840">
              <w:t>trader</w:t>
            </w:r>
            <w:proofErr w:type="spellEnd"/>
            <w:r w:rsidRPr="009C6840">
              <w:t xml:space="preserve"> practices</w:t>
            </w:r>
          </w:p>
        </w:tc>
        <w:tc>
          <w:tcPr>
            <w:tcW w:w="1368" w:type="pct"/>
          </w:tcPr>
          <w:p w14:paraId="2B54BBF2" w14:textId="77777777" w:rsidR="00820ECE" w:rsidRPr="00041103" w:rsidRDefault="00820ECE" w:rsidP="00D13B49">
            <w:pPr>
              <w:cnfStyle w:val="000000000000" w:firstRow="0" w:lastRow="0" w:firstColumn="0" w:lastColumn="0" w:oddVBand="0" w:evenVBand="0" w:oddHBand="0" w:evenHBand="0" w:firstRowFirstColumn="0" w:firstRowLastColumn="0" w:lastRowFirstColumn="0" w:lastRowLastColumn="0"/>
            </w:pPr>
          </w:p>
        </w:tc>
      </w:tr>
      <w:tr w:rsidR="00820ECE" w14:paraId="2B54BBF8" w14:textId="77777777" w:rsidTr="009C6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F4" w14:textId="2FD0DB2F" w:rsidR="00820ECE" w:rsidRDefault="003D4893" w:rsidP="003D4893">
            <w:pPr>
              <w:pStyle w:val="Bullet"/>
              <w:numPr>
                <w:ilvl w:val="0"/>
                <w:numId w:val="0"/>
              </w:numPr>
            </w:pPr>
            <w:r>
              <w:t xml:space="preserve">… </w:t>
            </w:r>
            <w:r w:rsidR="00820ECE" w:rsidRPr="00C613D0">
              <w:t>provid</w:t>
            </w:r>
            <w:r w:rsidR="00820ECE">
              <w:t>e accessible and timely redress</w:t>
            </w:r>
            <w:r w:rsidR="00E270D0">
              <w:t xml:space="preserve"> </w:t>
            </w:r>
            <w:r w:rsidR="00820ECE">
              <w:t>…</w:t>
            </w:r>
          </w:p>
        </w:tc>
        <w:tc>
          <w:tcPr>
            <w:tcW w:w="1306" w:type="pct"/>
          </w:tcPr>
          <w:p w14:paraId="2B54BBF5" w14:textId="77777777" w:rsidR="00820ECE" w:rsidRPr="00852B2F" w:rsidRDefault="00820ECE" w:rsidP="00D13B49">
            <w:pPr>
              <w:cnfStyle w:val="000000100000" w:firstRow="0" w:lastRow="0" w:firstColumn="0" w:lastColumn="0" w:oddVBand="0" w:evenVBand="0" w:oddHBand="1" w:evenHBand="0" w:firstRowFirstColumn="0" w:firstRowLastColumn="0" w:lastRowFirstColumn="0" w:lastRowLastColumn="0"/>
              <w:rPr>
                <w:highlight w:val="magenta"/>
              </w:rPr>
            </w:pPr>
          </w:p>
        </w:tc>
        <w:tc>
          <w:tcPr>
            <w:tcW w:w="1293" w:type="pct"/>
          </w:tcPr>
          <w:p w14:paraId="2B54BBF6" w14:textId="77777777" w:rsidR="00820ECE" w:rsidRPr="00852B2F" w:rsidRDefault="00820ECE" w:rsidP="00041103">
            <w:pPr>
              <w:cnfStyle w:val="000000100000" w:firstRow="0" w:lastRow="0" w:firstColumn="0" w:lastColumn="0" w:oddVBand="0" w:evenVBand="0" w:oddHBand="1" w:evenHBand="0" w:firstRowFirstColumn="0" w:firstRowLastColumn="0" w:lastRowFirstColumn="0" w:lastRowLastColumn="0"/>
              <w:rPr>
                <w:highlight w:val="magenta"/>
              </w:rPr>
            </w:pPr>
            <w:r w:rsidRPr="009C6840">
              <w:t>Closer integration of compliance and enforcement operations</w:t>
            </w:r>
          </w:p>
        </w:tc>
        <w:tc>
          <w:tcPr>
            <w:tcW w:w="1368" w:type="pct"/>
          </w:tcPr>
          <w:p w14:paraId="2B54BBF7" w14:textId="77777777" w:rsidR="00820ECE" w:rsidRPr="00041103" w:rsidRDefault="00820ECE" w:rsidP="00915173">
            <w:pPr>
              <w:cnfStyle w:val="000000100000" w:firstRow="0" w:lastRow="0" w:firstColumn="0" w:lastColumn="0" w:oddVBand="0" w:evenVBand="0" w:oddHBand="1" w:evenHBand="0" w:firstRowFirstColumn="0" w:firstRowLastColumn="0" w:lastRowFirstColumn="0" w:lastRowLastColumn="0"/>
            </w:pPr>
          </w:p>
        </w:tc>
      </w:tr>
      <w:tr w:rsidR="00820ECE" w14:paraId="2B54BBFD" w14:textId="77777777" w:rsidTr="009C6840">
        <w:trPr>
          <w:jc w:val="center"/>
        </w:trPr>
        <w:tc>
          <w:tcPr>
            <w:cnfStyle w:val="001000000000" w:firstRow="0" w:lastRow="0" w:firstColumn="1" w:lastColumn="0" w:oddVBand="0" w:evenVBand="0" w:oddHBand="0" w:evenHBand="0" w:firstRowFirstColumn="0" w:firstRowLastColumn="0" w:lastRowFirstColumn="0" w:lastRowLastColumn="0"/>
            <w:tcW w:w="1034" w:type="pct"/>
          </w:tcPr>
          <w:p w14:paraId="2B54BBF9" w14:textId="4B35417E" w:rsidR="00820ECE" w:rsidRDefault="00820ECE" w:rsidP="00D13B49">
            <w:pPr>
              <w:pStyle w:val="Bullet"/>
              <w:numPr>
                <w:ilvl w:val="0"/>
                <w:numId w:val="0"/>
              </w:numPr>
            </w:pPr>
            <w:r>
              <w:t>…</w:t>
            </w:r>
            <w:r w:rsidR="00E270D0">
              <w:t xml:space="preserve"> </w:t>
            </w:r>
            <w:r w:rsidRPr="00C613D0">
              <w:t>promote proportionate, risk</w:t>
            </w:r>
            <w:r w:rsidR="00455542">
              <w:noBreakHyphen/>
            </w:r>
            <w:r w:rsidRPr="00C613D0">
              <w:t>based enforcement</w:t>
            </w:r>
            <w:r w:rsidR="00E270D0">
              <w:t xml:space="preserve"> </w:t>
            </w:r>
            <w:r>
              <w:t>…</w:t>
            </w:r>
          </w:p>
        </w:tc>
        <w:tc>
          <w:tcPr>
            <w:tcW w:w="1306" w:type="pct"/>
          </w:tcPr>
          <w:p w14:paraId="2B54BBFA" w14:textId="77777777" w:rsidR="00820ECE" w:rsidRPr="00852B2F" w:rsidRDefault="00820ECE" w:rsidP="00D13B49">
            <w:pPr>
              <w:cnfStyle w:val="000000000000" w:firstRow="0" w:lastRow="0" w:firstColumn="0" w:lastColumn="0" w:oddVBand="0" w:evenVBand="0" w:oddHBand="0" w:evenHBand="0" w:firstRowFirstColumn="0" w:firstRowLastColumn="0" w:lastRowFirstColumn="0" w:lastRowLastColumn="0"/>
              <w:rPr>
                <w:highlight w:val="magenta"/>
              </w:rPr>
            </w:pPr>
          </w:p>
        </w:tc>
        <w:tc>
          <w:tcPr>
            <w:tcW w:w="1293" w:type="pct"/>
          </w:tcPr>
          <w:p w14:paraId="2B54BBFB" w14:textId="77777777" w:rsidR="00820ECE" w:rsidRPr="00852B2F" w:rsidRDefault="00820ECE" w:rsidP="00D13B49">
            <w:pPr>
              <w:cnfStyle w:val="000000000000" w:firstRow="0" w:lastRow="0" w:firstColumn="0" w:lastColumn="0" w:oddVBand="0" w:evenVBand="0" w:oddHBand="0" w:evenHBand="0" w:firstRowFirstColumn="0" w:firstRowLastColumn="0" w:lastRowFirstColumn="0" w:lastRowLastColumn="0"/>
              <w:rPr>
                <w:highlight w:val="magenta"/>
              </w:rPr>
            </w:pPr>
            <w:r w:rsidRPr="009C6840">
              <w:t>Identifying and responding to emerging consumer issues</w:t>
            </w:r>
          </w:p>
        </w:tc>
        <w:tc>
          <w:tcPr>
            <w:tcW w:w="1368" w:type="pct"/>
          </w:tcPr>
          <w:p w14:paraId="2B54BBFC" w14:textId="77777777" w:rsidR="00820ECE" w:rsidRPr="00041103" w:rsidRDefault="00820ECE" w:rsidP="00D13B49">
            <w:pPr>
              <w:cnfStyle w:val="000000000000" w:firstRow="0" w:lastRow="0" w:firstColumn="0" w:lastColumn="0" w:oddVBand="0" w:evenVBand="0" w:oddHBand="0" w:evenHBand="0" w:firstRowFirstColumn="0" w:firstRowLastColumn="0" w:lastRowFirstColumn="0" w:lastRowLastColumn="0"/>
            </w:pPr>
          </w:p>
        </w:tc>
      </w:tr>
    </w:tbl>
    <w:p w14:paraId="2B54BBFE" w14:textId="77777777" w:rsidR="00EB7AB7" w:rsidRDefault="00EB7AB7" w:rsidP="00EB7AB7"/>
    <w:p w14:paraId="2B54BBFF" w14:textId="77777777" w:rsidR="00EB7AB7" w:rsidRDefault="00EB7AB7">
      <w:pPr>
        <w:spacing w:after="0" w:line="240" w:lineRule="auto"/>
      </w:pPr>
      <w:r>
        <w:br w:type="page"/>
      </w:r>
    </w:p>
    <w:p w14:paraId="2B54BC00" w14:textId="77777777" w:rsidR="00EB7AB7" w:rsidRPr="00C613D0" w:rsidRDefault="00EB7AB7" w:rsidP="00EB7AB7">
      <w:pPr>
        <w:pStyle w:val="Heading2"/>
      </w:pPr>
      <w:bookmarkStart w:id="106" w:name="_Toc342299546"/>
      <w:bookmarkStart w:id="107" w:name="_Toc342381507"/>
      <w:bookmarkStart w:id="108" w:name="_Toc370468078"/>
      <w:r>
        <w:lastRenderedPageBreak/>
        <w:t>Interg</w:t>
      </w:r>
      <w:r w:rsidRPr="00C613D0">
        <w:t>overnmental Agreement for the Australian Consumer Law</w:t>
      </w:r>
      <w:bookmarkEnd w:id="106"/>
      <w:bookmarkEnd w:id="107"/>
      <w:bookmarkEnd w:id="108"/>
    </w:p>
    <w:p w14:paraId="2B54BC01" w14:textId="77777777" w:rsidR="00EB7AB7" w:rsidRDefault="00EB7AB7" w:rsidP="00EB7AB7">
      <w:r>
        <w:t xml:space="preserve">The development and administration of the ACL, is governed by the </w:t>
      </w:r>
      <w:r>
        <w:rPr>
          <w:i/>
          <w:iCs/>
        </w:rPr>
        <w:t xml:space="preserve">Intergovernmental Agreement for the Australian Consumer Law </w:t>
      </w:r>
      <w:r>
        <w:t>(IGA), which was signed by COAG on 2 July 2009. The IGA provides for the operation of the ACL through:</w:t>
      </w:r>
    </w:p>
    <w:p w14:paraId="2B54BC02" w14:textId="77777777" w:rsidR="00EB7AB7" w:rsidRPr="00C613D0" w:rsidRDefault="00EB7AB7" w:rsidP="00EB7AB7">
      <w:pPr>
        <w:pStyle w:val="Bullet"/>
      </w:pPr>
      <w:r w:rsidRPr="00C613D0">
        <w:t xml:space="preserve">arrangements for the implementation and future amendment of the ACL; and </w:t>
      </w:r>
    </w:p>
    <w:p w14:paraId="2B54BC03" w14:textId="77777777" w:rsidR="00EB7AB7" w:rsidRPr="00C613D0" w:rsidRDefault="00EB7AB7" w:rsidP="00EB7AB7">
      <w:pPr>
        <w:pStyle w:val="Bullet"/>
      </w:pPr>
      <w:proofErr w:type="gramStart"/>
      <w:r w:rsidRPr="00C613D0">
        <w:t>arrangements</w:t>
      </w:r>
      <w:proofErr w:type="gramEnd"/>
      <w:r w:rsidRPr="00C613D0">
        <w:t xml:space="preserve"> for the administration and enforcement of the ACL. </w:t>
      </w:r>
    </w:p>
    <w:p w14:paraId="2B54BC04" w14:textId="77777777" w:rsidR="00EB7AB7" w:rsidRDefault="00EB7AB7" w:rsidP="00EB7AB7">
      <w:r>
        <w:t>The ACL was implemented through the following Commonwealth legislation, which commenced on 1 January 2011:</w:t>
      </w:r>
    </w:p>
    <w:p w14:paraId="2B54BC05" w14:textId="77777777" w:rsidR="00EB7AB7" w:rsidRDefault="00EB7AB7" w:rsidP="00EB7AB7">
      <w:pPr>
        <w:pStyle w:val="Bullet"/>
      </w:pPr>
      <w:r w:rsidRPr="004B7BB8">
        <w:rPr>
          <w:i/>
        </w:rPr>
        <w:t>Trade Practices Amendment (Australian Consumer Law) Act (No.1) 2010</w:t>
      </w:r>
      <w:r>
        <w:rPr>
          <w:i/>
        </w:rPr>
        <w:t>;</w:t>
      </w:r>
    </w:p>
    <w:p w14:paraId="2B54BC06" w14:textId="77777777" w:rsidR="00EB7AB7" w:rsidRDefault="00EB7AB7" w:rsidP="00EB7AB7">
      <w:pPr>
        <w:pStyle w:val="Bullet"/>
      </w:pPr>
      <w:r w:rsidRPr="004B7BB8">
        <w:rPr>
          <w:i/>
        </w:rPr>
        <w:t>Trade Practices Amendment (Australian Consumer Law) Act (No.2) 2010</w:t>
      </w:r>
      <w:r>
        <w:rPr>
          <w:i/>
        </w:rPr>
        <w:t xml:space="preserve">; </w:t>
      </w:r>
      <w:r w:rsidRPr="00C127CC">
        <w:t>and</w:t>
      </w:r>
    </w:p>
    <w:p w14:paraId="2B54BC07" w14:textId="77777777" w:rsidR="00EB7AB7" w:rsidRDefault="00EB7AB7" w:rsidP="00EB7AB7">
      <w:pPr>
        <w:pStyle w:val="Bullet"/>
      </w:pPr>
      <w:r w:rsidRPr="004B7BB8">
        <w:rPr>
          <w:i/>
        </w:rPr>
        <w:t>Trade Practices Amendment (Australian Consumer Law) Regulations 2010</w:t>
      </w:r>
      <w:r>
        <w:t>.</w:t>
      </w:r>
    </w:p>
    <w:p w14:paraId="2B54BC08" w14:textId="77777777" w:rsidR="00EB7AB7" w:rsidRDefault="00EB7AB7" w:rsidP="00EB7AB7">
      <w:r>
        <w:t xml:space="preserve">The ACL was then applied by each state and territory through </w:t>
      </w:r>
      <w:proofErr w:type="gramStart"/>
      <w:r>
        <w:t>their own</w:t>
      </w:r>
      <w:proofErr w:type="gramEnd"/>
      <w:r>
        <w:t xml:space="preserve"> Acts, namely:</w:t>
      </w:r>
    </w:p>
    <w:p w14:paraId="2B54BC09" w14:textId="77777777" w:rsidR="00EB7AB7" w:rsidRPr="00A30775" w:rsidRDefault="00EB7AB7" w:rsidP="00EB7AB7">
      <w:pPr>
        <w:pStyle w:val="Bullet"/>
      </w:pPr>
      <w:r>
        <w:t xml:space="preserve">the </w:t>
      </w:r>
      <w:r w:rsidRPr="00C127CC">
        <w:rPr>
          <w:i/>
        </w:rPr>
        <w:t>Fair Trading (Australian Consumer Law) Amendment Act 2010</w:t>
      </w:r>
      <w:r>
        <w:t xml:space="preserve"> (ACT)</w:t>
      </w:r>
      <w:r w:rsidRPr="00A30775">
        <w:t>;</w:t>
      </w:r>
    </w:p>
    <w:p w14:paraId="2B54BC0A" w14:textId="77777777" w:rsidR="00EB7AB7" w:rsidRPr="00A30775" w:rsidRDefault="00EB7AB7" w:rsidP="00EB7AB7">
      <w:pPr>
        <w:pStyle w:val="Bullet"/>
      </w:pPr>
      <w:r>
        <w:t xml:space="preserve">the </w:t>
      </w:r>
      <w:r w:rsidRPr="00C127CC">
        <w:rPr>
          <w:i/>
        </w:rPr>
        <w:t>Fair Trading Amendment (Australian Consumer Law) Act 2010</w:t>
      </w:r>
      <w:r>
        <w:t xml:space="preserve"> (NSW)</w:t>
      </w:r>
      <w:r w:rsidRPr="00A30775">
        <w:t>;</w:t>
      </w:r>
    </w:p>
    <w:p w14:paraId="2B54BC0B" w14:textId="77777777" w:rsidR="00EB7AB7" w:rsidRPr="00A30775" w:rsidRDefault="00EB7AB7" w:rsidP="00EB7AB7">
      <w:pPr>
        <w:pStyle w:val="Bullet"/>
      </w:pPr>
      <w:r>
        <w:t xml:space="preserve">the </w:t>
      </w:r>
      <w:r w:rsidRPr="00C127CC">
        <w:rPr>
          <w:i/>
        </w:rPr>
        <w:t>Consumer Affairs and Fair Trading Amendment (National Uniform Legislation) Act 2010</w:t>
      </w:r>
      <w:r>
        <w:t xml:space="preserve"> (NT)</w:t>
      </w:r>
      <w:r w:rsidRPr="00A30775">
        <w:t>;</w:t>
      </w:r>
    </w:p>
    <w:p w14:paraId="2B54BC0C" w14:textId="77777777" w:rsidR="00EB7AB7" w:rsidRPr="00A30775" w:rsidRDefault="00EB7AB7" w:rsidP="00EB7AB7">
      <w:pPr>
        <w:pStyle w:val="Bullet"/>
      </w:pPr>
      <w:r>
        <w:t xml:space="preserve">the </w:t>
      </w:r>
      <w:r w:rsidRPr="00C127CC">
        <w:rPr>
          <w:i/>
        </w:rPr>
        <w:t>Fair Trading (Australian Consumer Law) Amendment Act 2010</w:t>
      </w:r>
      <w:r>
        <w:t xml:space="preserve"> (Q</w:t>
      </w:r>
      <w:r w:rsidR="00860E56">
        <w:t>LD</w:t>
      </w:r>
      <w:r>
        <w:t>)</w:t>
      </w:r>
      <w:r w:rsidRPr="00A30775">
        <w:t>;</w:t>
      </w:r>
    </w:p>
    <w:p w14:paraId="2B54BC0D" w14:textId="77777777" w:rsidR="00EB7AB7" w:rsidRPr="00A30775" w:rsidRDefault="00EB7AB7" w:rsidP="00EB7AB7">
      <w:pPr>
        <w:pStyle w:val="Bullet"/>
      </w:pPr>
      <w:r>
        <w:t xml:space="preserve">the </w:t>
      </w:r>
      <w:r w:rsidRPr="00C127CC">
        <w:rPr>
          <w:i/>
        </w:rPr>
        <w:t xml:space="preserve">Statutes Amendment and Repeal (Australian Consumer Law) Act 2010 </w:t>
      </w:r>
      <w:r>
        <w:t>(SA);</w:t>
      </w:r>
      <w:r w:rsidRPr="00A30775">
        <w:t xml:space="preserve"> </w:t>
      </w:r>
    </w:p>
    <w:p w14:paraId="2B54BC0E" w14:textId="77777777" w:rsidR="00EB7AB7" w:rsidRPr="00A30775" w:rsidRDefault="00EB7AB7" w:rsidP="00EB7AB7">
      <w:pPr>
        <w:pStyle w:val="Bullet"/>
      </w:pPr>
      <w:r>
        <w:t xml:space="preserve">the </w:t>
      </w:r>
      <w:r w:rsidRPr="00C127CC">
        <w:rPr>
          <w:i/>
        </w:rPr>
        <w:t>Australian Consumer Law (Tasmania) Act 2010 and Australian Consumer Law (Tasmania) (Consequential Amendments) Act 2010</w:t>
      </w:r>
      <w:r>
        <w:t xml:space="preserve"> (T</w:t>
      </w:r>
      <w:r w:rsidR="00860E56">
        <w:t>AS</w:t>
      </w:r>
      <w:r>
        <w:t>)</w:t>
      </w:r>
      <w:r w:rsidRPr="00A30775">
        <w:t>;</w:t>
      </w:r>
    </w:p>
    <w:p w14:paraId="2B54BC0F" w14:textId="77777777" w:rsidR="00EB7AB7" w:rsidRPr="00A30775" w:rsidRDefault="00EB7AB7" w:rsidP="00EB7AB7">
      <w:pPr>
        <w:pStyle w:val="Bullet"/>
      </w:pPr>
      <w:r>
        <w:t xml:space="preserve">the </w:t>
      </w:r>
      <w:r w:rsidRPr="00C127CC">
        <w:rPr>
          <w:i/>
        </w:rPr>
        <w:t>Fair Trading Amendment (Australian Consumer Law) Act 2010</w:t>
      </w:r>
      <w:r>
        <w:t xml:space="preserve"> (V</w:t>
      </w:r>
      <w:r w:rsidR="00860E56">
        <w:t>IC</w:t>
      </w:r>
      <w:r>
        <w:t>)</w:t>
      </w:r>
      <w:r w:rsidRPr="00A30775">
        <w:t>; and</w:t>
      </w:r>
    </w:p>
    <w:p w14:paraId="2B54BC10" w14:textId="77777777" w:rsidR="00EB7AB7" w:rsidRPr="00A30775" w:rsidRDefault="00EB7AB7" w:rsidP="00EB7AB7">
      <w:pPr>
        <w:pStyle w:val="Bullet"/>
      </w:pPr>
      <w:proofErr w:type="gramStart"/>
      <w:r>
        <w:t>the</w:t>
      </w:r>
      <w:proofErr w:type="gramEnd"/>
      <w:r>
        <w:t xml:space="preserve"> </w:t>
      </w:r>
      <w:r w:rsidRPr="00C127CC">
        <w:rPr>
          <w:i/>
        </w:rPr>
        <w:t>Fair Trading Act 2010</w:t>
      </w:r>
      <w:r>
        <w:t xml:space="preserve"> (</w:t>
      </w:r>
      <w:r w:rsidR="00860E56">
        <w:t>WA</w:t>
      </w:r>
      <w:r>
        <w:t>)</w:t>
      </w:r>
      <w:r w:rsidRPr="00A30775">
        <w:t>.</w:t>
      </w:r>
    </w:p>
    <w:p w14:paraId="2B54BC11" w14:textId="77777777" w:rsidR="00EB7AB7" w:rsidRDefault="00EB7AB7" w:rsidP="00EB7AB7">
      <w:r>
        <w:t xml:space="preserve">The ACL commenced as a law of the Commonwealth and of each state and territory on 1 January 2011. </w:t>
      </w:r>
    </w:p>
    <w:p w14:paraId="2B54BC12" w14:textId="77777777" w:rsidR="00EB7AB7" w:rsidRDefault="00EB7AB7" w:rsidP="00EB7AB7">
      <w:pPr>
        <w:pStyle w:val="Heading3"/>
      </w:pPr>
      <w:bookmarkStart w:id="109" w:name="_Toc342299547"/>
      <w:bookmarkStart w:id="110" w:name="_Toc342381508"/>
      <w:bookmarkStart w:id="111" w:name="_Toc370468079"/>
      <w:r>
        <w:t>Review of the ACL</w:t>
      </w:r>
      <w:bookmarkEnd w:id="109"/>
      <w:bookmarkEnd w:id="110"/>
      <w:bookmarkEnd w:id="111"/>
    </w:p>
    <w:p w14:paraId="2B54BC13" w14:textId="77777777" w:rsidR="00EB7AB7" w:rsidRDefault="00EB7AB7" w:rsidP="00EB7AB7">
      <w:pPr>
        <w:rPr>
          <w:i/>
        </w:rPr>
      </w:pPr>
      <w:r>
        <w:t>The enforcement and administration arrangements are to be reviewed by COAG within seven years of the commencement of the ACL. The operation and effect of the new provisions of the ACL are also subject to be reviewed within this period.</w:t>
      </w:r>
    </w:p>
    <w:p w14:paraId="466AB1C4" w14:textId="77777777" w:rsidR="00553D12" w:rsidRDefault="00553D12">
      <w:pPr>
        <w:spacing w:after="0" w:line="240" w:lineRule="auto"/>
        <w:rPr>
          <w:rFonts w:ascii="Arial" w:hAnsi="Arial" w:cs="Arial"/>
          <w:b/>
          <w:bCs/>
          <w:iCs/>
          <w:smallCaps/>
          <w:color w:val="00673A"/>
          <w:sz w:val="28"/>
          <w:szCs w:val="28"/>
        </w:rPr>
      </w:pPr>
      <w:bookmarkStart w:id="112" w:name="_Toc342299548"/>
      <w:bookmarkStart w:id="113" w:name="_Toc342381509"/>
      <w:bookmarkStart w:id="114" w:name="_Toc370468080"/>
      <w:r>
        <w:br w:type="page"/>
      </w:r>
    </w:p>
    <w:p w14:paraId="2B54BC14" w14:textId="08EEA633" w:rsidR="008C63C3" w:rsidRDefault="008C63C3" w:rsidP="008C63C3">
      <w:pPr>
        <w:pStyle w:val="Heading2"/>
      </w:pPr>
      <w:r w:rsidRPr="00827351">
        <w:lastRenderedPageBreak/>
        <w:t>Australia’s</w:t>
      </w:r>
      <w:r>
        <w:t xml:space="preserve"> consumer agencies</w:t>
      </w:r>
      <w:bookmarkEnd w:id="112"/>
      <w:bookmarkEnd w:id="113"/>
      <w:bookmarkEnd w:id="114"/>
    </w:p>
    <w:p w14:paraId="2B54BC15" w14:textId="77777777" w:rsidR="008C63C3" w:rsidRDefault="008C63C3" w:rsidP="008C63C3">
      <w:r>
        <w:t xml:space="preserve">Australia has two national consumer agencies: the </w:t>
      </w:r>
      <w:r w:rsidRPr="00B47BBD">
        <w:rPr>
          <w:b/>
        </w:rPr>
        <w:t>Australian Competition and Consumer Commission</w:t>
      </w:r>
      <w:r>
        <w:t xml:space="preserve"> and the </w:t>
      </w:r>
      <w:r w:rsidRPr="00B47BBD">
        <w:rPr>
          <w:b/>
        </w:rPr>
        <w:t>Australian Securities and Investments Commission</w:t>
      </w:r>
      <w:r>
        <w:t>. Each state and territory also has its own consumer agency:</w:t>
      </w:r>
    </w:p>
    <w:p w14:paraId="2B54BC16" w14:textId="77777777" w:rsidR="008C63C3" w:rsidRDefault="008C63C3" w:rsidP="008C63C3">
      <w:pPr>
        <w:pStyle w:val="Bullet"/>
      </w:pPr>
      <w:r w:rsidRPr="00F82BAD">
        <w:rPr>
          <w:b/>
        </w:rPr>
        <w:t>N</w:t>
      </w:r>
      <w:r>
        <w:rPr>
          <w:b/>
        </w:rPr>
        <w:t xml:space="preserve">ew </w:t>
      </w:r>
      <w:r w:rsidRPr="00F82BAD">
        <w:rPr>
          <w:b/>
        </w:rPr>
        <w:t>S</w:t>
      </w:r>
      <w:r>
        <w:rPr>
          <w:b/>
        </w:rPr>
        <w:t xml:space="preserve">outh </w:t>
      </w:r>
      <w:r w:rsidRPr="00F82BAD">
        <w:rPr>
          <w:b/>
        </w:rPr>
        <w:t>W</w:t>
      </w:r>
      <w:r>
        <w:rPr>
          <w:b/>
        </w:rPr>
        <w:t>ales</w:t>
      </w:r>
      <w:r w:rsidRPr="00F82BAD">
        <w:rPr>
          <w:b/>
        </w:rPr>
        <w:t xml:space="preserve"> Fair Trading</w:t>
      </w:r>
      <w:r>
        <w:t xml:space="preserve"> within the NSW Department of Finance and Services;</w:t>
      </w:r>
    </w:p>
    <w:p w14:paraId="2B54BC17" w14:textId="77777777" w:rsidR="008C63C3" w:rsidRDefault="008C63C3" w:rsidP="008C63C3">
      <w:pPr>
        <w:pStyle w:val="Bullet"/>
      </w:pPr>
      <w:r w:rsidRPr="00F82BAD">
        <w:rPr>
          <w:b/>
        </w:rPr>
        <w:t>Consumer Affairs Victoria</w:t>
      </w:r>
      <w:r>
        <w:t>, within the Victorian Department of Justice;</w:t>
      </w:r>
    </w:p>
    <w:p w14:paraId="2B54BC18" w14:textId="5C562757" w:rsidR="008C63C3" w:rsidRDefault="008C63C3" w:rsidP="008C63C3">
      <w:pPr>
        <w:pStyle w:val="Bullet"/>
      </w:pPr>
      <w:r>
        <w:t xml:space="preserve">the </w:t>
      </w:r>
      <w:r w:rsidRPr="00F82BAD">
        <w:rPr>
          <w:b/>
        </w:rPr>
        <w:t>Queensland O</w:t>
      </w:r>
      <w:r>
        <w:rPr>
          <w:b/>
        </w:rPr>
        <w:t xml:space="preserve">ffice of </w:t>
      </w:r>
      <w:r w:rsidRPr="00F82BAD">
        <w:rPr>
          <w:b/>
        </w:rPr>
        <w:t>F</w:t>
      </w:r>
      <w:r>
        <w:rPr>
          <w:b/>
        </w:rPr>
        <w:t xml:space="preserve">air </w:t>
      </w:r>
      <w:r w:rsidRPr="00F82BAD">
        <w:rPr>
          <w:b/>
        </w:rPr>
        <w:t>T</w:t>
      </w:r>
      <w:r>
        <w:rPr>
          <w:b/>
        </w:rPr>
        <w:t>rading</w:t>
      </w:r>
      <w:r>
        <w:t>, within the Queensland Department of Justice and Attorney</w:t>
      </w:r>
      <w:r w:rsidR="00455542">
        <w:noBreakHyphen/>
      </w:r>
      <w:r>
        <w:t>General;</w:t>
      </w:r>
    </w:p>
    <w:p w14:paraId="2B54BC19" w14:textId="77777777" w:rsidR="008C63C3" w:rsidRDefault="008C63C3" w:rsidP="008C63C3">
      <w:pPr>
        <w:pStyle w:val="Bullet"/>
      </w:pPr>
      <w:r>
        <w:t xml:space="preserve">the </w:t>
      </w:r>
      <w:r w:rsidRPr="00F82BAD">
        <w:rPr>
          <w:b/>
        </w:rPr>
        <w:t>W</w:t>
      </w:r>
      <w:r>
        <w:rPr>
          <w:b/>
        </w:rPr>
        <w:t xml:space="preserve">estern </w:t>
      </w:r>
      <w:r w:rsidRPr="00F82BAD">
        <w:rPr>
          <w:b/>
        </w:rPr>
        <w:t>A</w:t>
      </w:r>
      <w:r>
        <w:rPr>
          <w:b/>
        </w:rPr>
        <w:t>ustralia</w:t>
      </w:r>
      <w:r w:rsidRPr="00F82BAD">
        <w:rPr>
          <w:b/>
        </w:rPr>
        <w:t xml:space="preserve"> Department of Commerce — Consumer Protection</w:t>
      </w:r>
      <w:r>
        <w:t>;</w:t>
      </w:r>
    </w:p>
    <w:p w14:paraId="2B54BC1A" w14:textId="00EBA2F7" w:rsidR="008C63C3" w:rsidRDefault="008C63C3" w:rsidP="008C63C3">
      <w:pPr>
        <w:pStyle w:val="Bullet"/>
      </w:pPr>
      <w:r>
        <w:t xml:space="preserve">the </w:t>
      </w:r>
      <w:r w:rsidRPr="00E92463">
        <w:rPr>
          <w:b/>
        </w:rPr>
        <w:t>Consumer and Business Services Division,</w:t>
      </w:r>
      <w:r>
        <w:t xml:space="preserve"> within the SA Attorney</w:t>
      </w:r>
      <w:r w:rsidR="00455542">
        <w:noBreakHyphen/>
      </w:r>
      <w:r>
        <w:t>General’s Department;</w:t>
      </w:r>
    </w:p>
    <w:p w14:paraId="2B54BC1B" w14:textId="77777777" w:rsidR="008C63C3" w:rsidRDefault="008C63C3" w:rsidP="008C63C3">
      <w:pPr>
        <w:pStyle w:val="Bullet"/>
      </w:pPr>
      <w:r>
        <w:t xml:space="preserve">the </w:t>
      </w:r>
      <w:r w:rsidRPr="00B47BBD">
        <w:rPr>
          <w:b/>
        </w:rPr>
        <w:t>Tasmanian Office of Consumer Affairs and Fair Trading</w:t>
      </w:r>
      <w:r>
        <w:t>, within the Tasmanian  Department of Justice;</w:t>
      </w:r>
    </w:p>
    <w:p w14:paraId="2B54BC1C" w14:textId="77777777" w:rsidR="008C63C3" w:rsidRDefault="008C63C3" w:rsidP="008C63C3">
      <w:pPr>
        <w:pStyle w:val="Bullet"/>
      </w:pPr>
      <w:r>
        <w:t xml:space="preserve">the </w:t>
      </w:r>
      <w:r w:rsidRPr="00B47BBD">
        <w:rPr>
          <w:b/>
        </w:rPr>
        <w:t>A</w:t>
      </w:r>
      <w:r>
        <w:rPr>
          <w:b/>
        </w:rPr>
        <w:t xml:space="preserve">ustralian </w:t>
      </w:r>
      <w:r w:rsidRPr="00B47BBD">
        <w:rPr>
          <w:b/>
        </w:rPr>
        <w:t>C</w:t>
      </w:r>
      <w:r>
        <w:rPr>
          <w:b/>
        </w:rPr>
        <w:t xml:space="preserve">apital </w:t>
      </w:r>
      <w:r w:rsidRPr="00B47BBD">
        <w:rPr>
          <w:b/>
        </w:rPr>
        <w:t>T</w:t>
      </w:r>
      <w:r>
        <w:rPr>
          <w:b/>
        </w:rPr>
        <w:t>erritory</w:t>
      </w:r>
      <w:r w:rsidRPr="00B47BBD">
        <w:rPr>
          <w:b/>
        </w:rPr>
        <w:t xml:space="preserve"> Office of Regulatory Services</w:t>
      </w:r>
      <w:r>
        <w:t>, within the ACT  </w:t>
      </w:r>
      <w:r w:rsidRPr="00CA2482">
        <w:t xml:space="preserve">Justice and Community </w:t>
      </w:r>
      <w:r w:rsidRPr="00571A84">
        <w:t>Safety Direc</w:t>
      </w:r>
      <w:r w:rsidRPr="00CA2482">
        <w:t>torate</w:t>
      </w:r>
      <w:r>
        <w:t>; and</w:t>
      </w:r>
    </w:p>
    <w:p w14:paraId="2B54BC1D" w14:textId="6C93DCC9" w:rsidR="008C63C3" w:rsidRDefault="008C63C3" w:rsidP="008C63C3">
      <w:pPr>
        <w:pStyle w:val="Bullet"/>
      </w:pPr>
      <w:r w:rsidRPr="00B47BBD">
        <w:rPr>
          <w:b/>
        </w:rPr>
        <w:t>NT Consumer Affairs</w:t>
      </w:r>
      <w:r>
        <w:t xml:space="preserve">, within the </w:t>
      </w:r>
      <w:r w:rsidR="009A508D">
        <w:t>NT Department of the Attorney</w:t>
      </w:r>
      <w:r w:rsidR="00455542">
        <w:noBreakHyphen/>
      </w:r>
      <w:r w:rsidR="009A508D">
        <w:t>General and Justice</w:t>
      </w:r>
      <w:r>
        <w:t xml:space="preserve">. </w:t>
      </w:r>
    </w:p>
    <w:p w14:paraId="2B54BC1E" w14:textId="395CE6AB" w:rsidR="008C63C3" w:rsidRDefault="008C63C3" w:rsidP="008C63C3">
      <w:r>
        <w:t xml:space="preserve">In New Zealand consumer law enforcement responsibilities lie with </w:t>
      </w:r>
      <w:proofErr w:type="gramStart"/>
      <w:r>
        <w:t>both the</w:t>
      </w:r>
      <w:proofErr w:type="gramEnd"/>
      <w:r>
        <w:t xml:space="preserve"> </w:t>
      </w:r>
      <w:r w:rsidRPr="00E92463">
        <w:rPr>
          <w:b/>
        </w:rPr>
        <w:t>New Zealand Ministry of Business, Innovation and Employment</w:t>
      </w:r>
      <w:r>
        <w:t xml:space="preserve"> (for some specific issues) and the </w:t>
      </w:r>
      <w:r w:rsidRPr="00B47BBD">
        <w:rPr>
          <w:b/>
        </w:rPr>
        <w:t>N</w:t>
      </w:r>
      <w:r>
        <w:rPr>
          <w:b/>
        </w:rPr>
        <w:t>ew</w:t>
      </w:r>
      <w:r w:rsidR="00553D12">
        <w:rPr>
          <w:b/>
        </w:rPr>
        <w:t> </w:t>
      </w:r>
      <w:r w:rsidRPr="00B47BBD">
        <w:rPr>
          <w:b/>
        </w:rPr>
        <w:t>Z</w:t>
      </w:r>
      <w:r>
        <w:rPr>
          <w:b/>
        </w:rPr>
        <w:t>ealand</w:t>
      </w:r>
      <w:r w:rsidRPr="00B47BBD">
        <w:rPr>
          <w:b/>
        </w:rPr>
        <w:t xml:space="preserve"> Commerce Commission</w:t>
      </w:r>
      <w:r>
        <w:t xml:space="preserve">. </w:t>
      </w:r>
    </w:p>
    <w:p w14:paraId="2B54BC1F" w14:textId="77777777" w:rsidR="008C63C3" w:rsidRDefault="008C63C3" w:rsidP="008C63C3">
      <w:r>
        <w:t xml:space="preserve">Each of these agencies also has a range of other statutory and regulatory functions which it must fulfil under the laws of each jurisdiction, in addition to their responsibilities for general consumer protection and fair trading matters. </w:t>
      </w:r>
    </w:p>
    <w:p w14:paraId="2B54BC20" w14:textId="77777777" w:rsidR="008C63C3" w:rsidRDefault="008C63C3" w:rsidP="008C63C3">
      <w:pPr>
        <w:pStyle w:val="Heading3"/>
      </w:pPr>
      <w:bookmarkStart w:id="115" w:name="_Toc342299549"/>
      <w:bookmarkStart w:id="116" w:name="_Toc342381510"/>
      <w:bookmarkStart w:id="117" w:name="_Toc370468081"/>
      <w:r>
        <w:t xml:space="preserve">The ACL </w:t>
      </w:r>
      <w:r w:rsidRPr="00827351">
        <w:t>Memorandum</w:t>
      </w:r>
      <w:r>
        <w:t xml:space="preserve"> of Understanding</w:t>
      </w:r>
      <w:bookmarkEnd w:id="115"/>
      <w:bookmarkEnd w:id="116"/>
      <w:bookmarkEnd w:id="117"/>
    </w:p>
    <w:p w14:paraId="2B54BC21" w14:textId="77777777" w:rsidR="008C63C3" w:rsidRDefault="008C63C3" w:rsidP="008C63C3">
      <w:r>
        <w:t>In July 2010, Australia’s consumer agencies agreed to a Memorandum of Understanding (</w:t>
      </w:r>
      <w:proofErr w:type="spellStart"/>
      <w:r>
        <w:t>MoU</w:t>
      </w:r>
      <w:proofErr w:type="spellEnd"/>
      <w:r>
        <w:t xml:space="preserve">) for the administration and enforcement of the ACL. The </w:t>
      </w:r>
      <w:proofErr w:type="spellStart"/>
      <w:r>
        <w:t>MoU</w:t>
      </w:r>
      <w:proofErr w:type="spellEnd"/>
      <w:r>
        <w:t xml:space="preserve"> is a comprehensive framework which builds on a previously limited range of often informal arrangements which were not universal among the jurisdictions. The </w:t>
      </w:r>
      <w:proofErr w:type="spellStart"/>
      <w:r>
        <w:t>MoU</w:t>
      </w:r>
      <w:proofErr w:type="spellEnd"/>
      <w:r>
        <w:t xml:space="preserve"> makes arrangements for:</w:t>
      </w:r>
    </w:p>
    <w:p w14:paraId="2B54BC22" w14:textId="77777777" w:rsidR="008C63C3" w:rsidRDefault="008C63C3" w:rsidP="008C63C3">
      <w:pPr>
        <w:pStyle w:val="Bullet"/>
      </w:pPr>
      <w:r>
        <w:t>enforcing the ACL, including the exchange of information and intelligence;</w:t>
      </w:r>
    </w:p>
    <w:p w14:paraId="2B54BC23" w14:textId="77777777" w:rsidR="008C63C3" w:rsidRDefault="008C63C3" w:rsidP="008C63C3">
      <w:pPr>
        <w:pStyle w:val="Bullet"/>
      </w:pPr>
      <w:r>
        <w:t>informing the general public and educating consumers and businesses about the ACL;</w:t>
      </w:r>
    </w:p>
    <w:p w14:paraId="2B54BC24" w14:textId="77777777" w:rsidR="008C63C3" w:rsidRDefault="008C63C3" w:rsidP="008C63C3">
      <w:pPr>
        <w:pStyle w:val="Bullet"/>
      </w:pPr>
      <w:r>
        <w:t xml:space="preserve">monitoring compliance with the ACL, including market surveillance; </w:t>
      </w:r>
    </w:p>
    <w:p w14:paraId="2B54BC25" w14:textId="77777777" w:rsidR="008C63C3" w:rsidRDefault="008C63C3" w:rsidP="008C63C3">
      <w:pPr>
        <w:pStyle w:val="Bullet"/>
      </w:pPr>
      <w:r>
        <w:t>specific arrangements relating to the administration of the national product safety system; and</w:t>
      </w:r>
    </w:p>
    <w:p w14:paraId="2B54BC26" w14:textId="77777777" w:rsidR="00EB7AB7" w:rsidRPr="00EB7AB7" w:rsidRDefault="008C63C3" w:rsidP="009C6840">
      <w:pPr>
        <w:pStyle w:val="Bullet"/>
      </w:pPr>
      <w:proofErr w:type="gramStart"/>
      <w:r>
        <w:t>ongoing</w:t>
      </w:r>
      <w:proofErr w:type="gramEnd"/>
      <w:r>
        <w:t xml:space="preserve"> reporting and review of the administration and enforcement of the ACL, including specific arrangements to report to CAF. </w:t>
      </w:r>
      <w:bookmarkStart w:id="118" w:name="ReturnHere"/>
      <w:bookmarkEnd w:id="118"/>
    </w:p>
    <w:sectPr w:rsidR="00EB7AB7" w:rsidRPr="00EB7AB7" w:rsidSect="007D08F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4BC3F" w14:textId="77777777" w:rsidR="004D306F" w:rsidRDefault="004D306F">
      <w:r>
        <w:separator/>
      </w:r>
    </w:p>
  </w:endnote>
  <w:endnote w:type="continuationSeparator" w:id="0">
    <w:p w14:paraId="2B54BC40" w14:textId="77777777" w:rsidR="004D306F" w:rsidRDefault="004D3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4BC43" w14:textId="77777777" w:rsidR="004D306F" w:rsidRDefault="004D306F" w:rsidP="003D4893">
    <w:pPr>
      <w:pStyle w:val="FooterEven"/>
      <w:jc w:val="right"/>
    </w:pPr>
    <w:r>
      <w:t xml:space="preserve">Page </w:t>
    </w:r>
    <w:r>
      <w:fldChar w:fldCharType="begin"/>
    </w:r>
    <w:r>
      <w:instrText xml:space="preserve"> PAGE </w:instrText>
    </w:r>
    <w:r>
      <w:fldChar w:fldCharType="separate"/>
    </w:r>
    <w:r w:rsidR="00A53D56">
      <w:rPr>
        <w:noProof/>
      </w:rPr>
      <w:t>34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4BC44" w14:textId="77777777" w:rsidR="004D306F" w:rsidRDefault="004D306F">
    <w:pPr>
      <w:pStyle w:val="FooterOdd"/>
    </w:pPr>
    <w:r>
      <w:t xml:space="preserve">Page </w:t>
    </w:r>
    <w:r>
      <w:fldChar w:fldCharType="begin"/>
    </w:r>
    <w:r>
      <w:instrText xml:space="preserve"> PAGE </w:instrText>
    </w:r>
    <w:r>
      <w:fldChar w:fldCharType="separate"/>
    </w:r>
    <w:r w:rsidR="00A53D56">
      <w:rPr>
        <w:noProof/>
      </w:rPr>
      <w:t>35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6191B" w14:textId="72F95B74" w:rsidR="004D306F" w:rsidRPr="003D4893" w:rsidRDefault="004D306F" w:rsidP="003D48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86E8C" w14:textId="28D35CAD" w:rsidR="004D306F" w:rsidRPr="003D4893" w:rsidRDefault="004D306F" w:rsidP="003D4893">
    <w:pPr>
      <w:pStyle w:val="Footer"/>
      <w:jc w:val="right"/>
    </w:pPr>
    <w:r>
      <w:t xml:space="preserve">Page </w:t>
    </w:r>
    <w:r>
      <w:fldChar w:fldCharType="begin"/>
    </w:r>
    <w:r>
      <w:instrText xml:space="preserve"> PAGE   \* MERGEFORMAT </w:instrText>
    </w:r>
    <w:r>
      <w:fldChar w:fldCharType="separate"/>
    </w:r>
    <w:r w:rsidR="00B624C8">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870F0" w14:textId="2A571358" w:rsidR="004D306F" w:rsidRPr="003D4893" w:rsidRDefault="004D306F" w:rsidP="003D4893">
    <w:pPr>
      <w:pStyle w:val="Footer"/>
      <w:jc w:val="right"/>
    </w:pPr>
    <w:r>
      <w:t xml:space="preserve">Page </w:t>
    </w:r>
    <w:r>
      <w:fldChar w:fldCharType="begin"/>
    </w:r>
    <w:r>
      <w:instrText xml:space="preserve"> PAGE   \* MERGEFORMAT </w:instrText>
    </w:r>
    <w:r>
      <w:fldChar w:fldCharType="separate"/>
    </w:r>
    <w:r w:rsidR="00B624C8">
      <w:rPr>
        <w:noProof/>
      </w:rPr>
      <w:t>iv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F984C" w14:textId="4FB99B0E" w:rsidR="004D306F" w:rsidRPr="003D4893" w:rsidRDefault="004D306F" w:rsidP="003D4893">
    <w:pPr>
      <w:pStyle w:val="Footer"/>
      <w:jc w:val="right"/>
    </w:pPr>
    <w:r>
      <w:t xml:space="preserve">Page </w:t>
    </w:r>
    <w:r>
      <w:fldChar w:fldCharType="begin"/>
    </w:r>
    <w:r>
      <w:instrText xml:space="preserve"> PAGE   \* MERGEFORMAT </w:instrText>
    </w:r>
    <w:r>
      <w:fldChar w:fldCharType="separate"/>
    </w:r>
    <w:r w:rsidR="00A53D56">
      <w:rPr>
        <w:noProof/>
      </w:rPr>
      <w:t>vi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3F4C1" w14:textId="5CE58073" w:rsidR="004D306F" w:rsidRPr="003D4893" w:rsidRDefault="004D306F" w:rsidP="003D4893">
    <w:pPr>
      <w:pStyle w:val="Footer"/>
      <w:jc w:val="right"/>
    </w:pPr>
    <w:r>
      <w:t xml:space="preserve">Page </w:t>
    </w:r>
    <w:r>
      <w:fldChar w:fldCharType="begin"/>
    </w:r>
    <w:r>
      <w:instrText xml:space="preserve"> PAGE   \* MERGEFORMAT </w:instrText>
    </w:r>
    <w:r>
      <w:fldChar w:fldCharType="separate"/>
    </w:r>
    <w:r w:rsidR="00A53D56">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4BC3D" w14:textId="77777777" w:rsidR="004D306F" w:rsidRDefault="004D306F">
      <w:r>
        <w:separator/>
      </w:r>
    </w:p>
  </w:footnote>
  <w:footnote w:type="continuationSeparator" w:id="0">
    <w:p w14:paraId="2B54BC3E" w14:textId="77777777" w:rsidR="004D306F" w:rsidRDefault="004D306F">
      <w:r>
        <w:continuationSeparator/>
      </w:r>
    </w:p>
  </w:footnote>
  <w:footnote w:id="1">
    <w:p w14:paraId="2B54BC48" w14:textId="77777777" w:rsidR="004D306F" w:rsidRDefault="004D306F" w:rsidP="00A67451">
      <w:pPr>
        <w:pStyle w:val="FootnoteText"/>
      </w:pPr>
      <w:r w:rsidRPr="004D306F">
        <w:rPr>
          <w:rStyle w:val="FootnoteReference"/>
          <w:vertAlign w:val="baseline"/>
        </w:rPr>
        <w:footnoteRef/>
      </w:r>
      <w:r>
        <w:tab/>
      </w:r>
      <w:proofErr w:type="gramStart"/>
      <w:r>
        <w:t>Ministerial Council on Consumer Affairs (2009).</w:t>
      </w:r>
      <w:proofErr w:type="gramEnd"/>
      <w:r>
        <w:t xml:space="preserve"> </w:t>
      </w:r>
      <w:r w:rsidRPr="00C20D2A">
        <w:rPr>
          <w:i/>
        </w:rPr>
        <w:t>A new approach to consumer policy:  Strategy 2010-2012</w:t>
      </w:r>
      <w:r>
        <w:t>, p 4.</w:t>
      </w:r>
    </w:p>
  </w:footnote>
  <w:footnote w:id="2">
    <w:p w14:paraId="2B54BC49" w14:textId="77777777" w:rsidR="004D306F" w:rsidRDefault="004D306F">
      <w:pPr>
        <w:pStyle w:val="FootnoteText"/>
      </w:pPr>
      <w:r w:rsidRPr="004D306F">
        <w:rPr>
          <w:rStyle w:val="FootnoteReference"/>
          <w:vertAlign w:val="baseline"/>
        </w:rPr>
        <w:footnoteRef/>
      </w:r>
      <w:r w:rsidRPr="004D306F">
        <w:t xml:space="preserve"> </w:t>
      </w:r>
      <w:r>
        <w:tab/>
        <w:t>Case studies are intended to highlight key work rather than provide an exhaustive list of work in 2012-13.</w:t>
      </w:r>
    </w:p>
  </w:footnote>
  <w:footnote w:id="3">
    <w:p w14:paraId="2B54BC4A" w14:textId="77777777" w:rsidR="004D306F" w:rsidRDefault="004D306F" w:rsidP="00EB7AB7">
      <w:pPr>
        <w:pStyle w:val="FootnoteText"/>
      </w:pPr>
      <w:r w:rsidRPr="00F8272F">
        <w:rPr>
          <w:rStyle w:val="FootnoteReference"/>
          <w:vertAlign w:val="baseline"/>
        </w:rPr>
        <w:footnoteRef/>
      </w:r>
      <w:r w:rsidRPr="00F8272F">
        <w:t xml:space="preserve"> </w:t>
      </w:r>
      <w:r>
        <w:tab/>
      </w:r>
      <w:proofErr w:type="gramStart"/>
      <w:r>
        <w:t>Now the COAG Legislative and Governance Forum on Consumer Affairs (CAF).</w:t>
      </w:r>
      <w:proofErr w:type="gramEnd"/>
    </w:p>
  </w:footnote>
  <w:footnote w:id="4">
    <w:p w14:paraId="2B54BC4B" w14:textId="77777777" w:rsidR="004D306F" w:rsidRDefault="004D306F" w:rsidP="00EB7AB7">
      <w:pPr>
        <w:pStyle w:val="FootnoteText"/>
      </w:pPr>
      <w:r w:rsidRPr="006B482D">
        <w:footnoteRef/>
      </w:r>
      <w:r>
        <w:tab/>
      </w:r>
      <w:proofErr w:type="gramStart"/>
      <w:r>
        <w:t>Ministerial Council on Consumer Affairs (2009).</w:t>
      </w:r>
      <w:proofErr w:type="gramEnd"/>
      <w:r>
        <w:t xml:space="preserve"> </w:t>
      </w:r>
      <w:r w:rsidRPr="00C20D2A">
        <w:rPr>
          <w:i/>
        </w:rPr>
        <w:t>A new approach to consumer policy:  Strategy 2010-2012</w:t>
      </w:r>
      <w:r>
        <w:t>,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4BC42" w14:textId="49D0B19D" w:rsidR="004D306F" w:rsidRDefault="004D306F">
    <w:pPr>
      <w:pStyle w:val="HeaderOd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70456" w14:textId="77777777" w:rsidR="00E270D0" w:rsidRDefault="00E270D0">
    <w:pPr>
      <w:pStyle w:val="Header"/>
    </w:pPr>
    <w:r w:rsidRPr="00C47ED5">
      <w:t>Implementation of the Australian Consumer Law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C1704" w14:textId="30761786" w:rsidR="00E270D0" w:rsidRPr="00E270D0" w:rsidRDefault="00E270D0" w:rsidP="00E270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9F12B" w14:textId="3B25B3F8" w:rsidR="00E270D0" w:rsidRPr="00E270D0" w:rsidRDefault="00E270D0" w:rsidP="00E270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CFB32" w14:textId="5CBD7338" w:rsidR="00E270D0" w:rsidRPr="00E270D0" w:rsidRDefault="00E270D0" w:rsidP="00E270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81A35" w14:textId="2A730982" w:rsidR="00E270D0" w:rsidRPr="00E270D0" w:rsidRDefault="00E270D0" w:rsidP="00E270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B2D1B" w14:textId="4C2E1D27" w:rsidR="00E270D0" w:rsidRPr="00E270D0" w:rsidRDefault="00E270D0" w:rsidP="00E270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F4B38" w14:textId="24C57564" w:rsidR="004D306F" w:rsidRDefault="004D306F" w:rsidP="004D306F">
    <w:pPr>
      <w:pStyle w:val="Header"/>
      <w:jc w:val="right"/>
    </w:pPr>
    <w:r w:rsidRPr="00C47ED5">
      <w:t>Implementation of the Australian Consumer Law</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CB591" w14:textId="663AB2E4" w:rsidR="004D306F" w:rsidRDefault="004D306F">
    <w:pPr>
      <w:pStyle w:val="HeaderOdd"/>
    </w:pPr>
    <w:r w:rsidRPr="00C47ED5">
      <w:t>Implementation of the Australian Consumer Law</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7E18F" w14:textId="555E35CD" w:rsidR="00E270D0" w:rsidRPr="00E270D0" w:rsidRDefault="00E270D0" w:rsidP="00E270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DAEDFE"/>
    <w:lvl w:ilvl="0">
      <w:start w:val="1"/>
      <w:numFmt w:val="decimal"/>
      <w:lvlText w:val="%1."/>
      <w:lvlJc w:val="left"/>
      <w:pPr>
        <w:tabs>
          <w:tab w:val="num" w:pos="1492"/>
        </w:tabs>
        <w:ind w:left="1492" w:hanging="360"/>
      </w:pPr>
    </w:lvl>
  </w:abstractNum>
  <w:abstractNum w:abstractNumId="1">
    <w:nsid w:val="FFFFFF7D"/>
    <w:multiLevelType w:val="singleLevel"/>
    <w:tmpl w:val="C240B950"/>
    <w:lvl w:ilvl="0">
      <w:start w:val="1"/>
      <w:numFmt w:val="decimal"/>
      <w:lvlText w:val="%1."/>
      <w:lvlJc w:val="left"/>
      <w:pPr>
        <w:tabs>
          <w:tab w:val="num" w:pos="1209"/>
        </w:tabs>
        <w:ind w:left="1209" w:hanging="360"/>
      </w:pPr>
    </w:lvl>
  </w:abstractNum>
  <w:abstractNum w:abstractNumId="2">
    <w:nsid w:val="FFFFFF7E"/>
    <w:multiLevelType w:val="singleLevel"/>
    <w:tmpl w:val="18CEFF40"/>
    <w:lvl w:ilvl="0">
      <w:start w:val="1"/>
      <w:numFmt w:val="decimal"/>
      <w:lvlText w:val="%1."/>
      <w:lvlJc w:val="left"/>
      <w:pPr>
        <w:tabs>
          <w:tab w:val="num" w:pos="926"/>
        </w:tabs>
        <w:ind w:left="926" w:hanging="360"/>
      </w:pPr>
    </w:lvl>
  </w:abstractNum>
  <w:abstractNum w:abstractNumId="3">
    <w:nsid w:val="FFFFFF7F"/>
    <w:multiLevelType w:val="singleLevel"/>
    <w:tmpl w:val="53A44714"/>
    <w:lvl w:ilvl="0">
      <w:start w:val="1"/>
      <w:numFmt w:val="decimal"/>
      <w:lvlText w:val="%1."/>
      <w:lvlJc w:val="left"/>
      <w:pPr>
        <w:tabs>
          <w:tab w:val="num" w:pos="643"/>
        </w:tabs>
        <w:ind w:left="643" w:hanging="360"/>
      </w:pPr>
    </w:lvl>
  </w:abstractNum>
  <w:abstractNum w:abstractNumId="4">
    <w:nsid w:val="FFFFFF80"/>
    <w:multiLevelType w:val="singleLevel"/>
    <w:tmpl w:val="EFC636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621F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7677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DC08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E060C8"/>
    <w:lvl w:ilvl="0">
      <w:start w:val="1"/>
      <w:numFmt w:val="decimal"/>
      <w:lvlText w:val="%1."/>
      <w:lvlJc w:val="left"/>
      <w:pPr>
        <w:tabs>
          <w:tab w:val="num" w:pos="360"/>
        </w:tabs>
        <w:ind w:left="360" w:hanging="360"/>
      </w:pPr>
    </w:lvl>
  </w:abstractNum>
  <w:abstractNum w:abstractNumId="9">
    <w:nsid w:val="FFFFFF89"/>
    <w:multiLevelType w:val="singleLevel"/>
    <w:tmpl w:val="E5768F90"/>
    <w:lvl w:ilvl="0">
      <w:start w:val="1"/>
      <w:numFmt w:val="bullet"/>
      <w:lvlText w:val=""/>
      <w:lvlJc w:val="left"/>
      <w:pPr>
        <w:tabs>
          <w:tab w:val="num" w:pos="360"/>
        </w:tabs>
        <w:ind w:left="360" w:hanging="360"/>
      </w:pPr>
      <w:rPr>
        <w:rFonts w:ascii="Symbol" w:hAnsi="Symbol" w:hint="default"/>
      </w:rPr>
    </w:lvl>
  </w:abstractNum>
  <w:abstractNum w:abstractNumId="10">
    <w:nsid w:val="02C328B9"/>
    <w:multiLevelType w:val="hybridMultilevel"/>
    <w:tmpl w:val="EDC06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D002F0"/>
    <w:multiLevelType w:val="hybridMultilevel"/>
    <w:tmpl w:val="3076A7CA"/>
    <w:lvl w:ilvl="0" w:tplc="1C20601A">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10105608"/>
    <w:multiLevelType w:val="multilevel"/>
    <w:tmpl w:val="56580168"/>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850"/>
        </w:tabs>
        <w:ind w:left="850" w:hanging="851"/>
      </w:pPr>
      <w:rPr>
        <w:rFonts w:ascii="Times New Roman" w:hAnsi="Times New Roman" w:cs="Times New Roman" w:hint="default"/>
        <w:b w:val="0"/>
        <w:i w:val="0"/>
      </w:rPr>
    </w:lvl>
    <w:lvl w:ilvl="2">
      <w:start w:val="1"/>
      <w:numFmt w:val="bullet"/>
      <w:lvlText w:val=":"/>
      <w:lvlJc w:val="left"/>
      <w:pPr>
        <w:tabs>
          <w:tab w:val="num" w:pos="566"/>
        </w:tabs>
        <w:ind w:left="566" w:hanging="283"/>
      </w:pPr>
      <w:rPr>
        <w:rFonts w:ascii="Times New Roman" w:hAnsi="Times New Roman" w:cs="Times New Roman" w:hint="default"/>
        <w:b w:val="0"/>
        <w:i w:val="0"/>
      </w:rPr>
    </w:lvl>
    <w:lvl w:ilvl="3">
      <w:start w:val="1"/>
      <w:numFmt w:val="decimal"/>
      <w:lvlText w:val="(%4)"/>
      <w:lvlJc w:val="left"/>
      <w:pPr>
        <w:tabs>
          <w:tab w:val="num" w:pos="1156"/>
        </w:tabs>
        <w:ind w:left="1156" w:hanging="360"/>
      </w:pPr>
      <w:rPr>
        <w:b w:val="0"/>
        <w:i w:val="0"/>
      </w:rPr>
    </w:lvl>
    <w:lvl w:ilvl="4">
      <w:start w:val="1"/>
      <w:numFmt w:val="lowerLetter"/>
      <w:lvlText w:val="(%5)"/>
      <w:lvlJc w:val="left"/>
      <w:pPr>
        <w:tabs>
          <w:tab w:val="num" w:pos="1516"/>
        </w:tabs>
        <w:ind w:left="1516" w:hanging="360"/>
      </w:pPr>
      <w:rPr>
        <w:b w:val="0"/>
        <w:i w:val="0"/>
      </w:rPr>
    </w:lvl>
    <w:lvl w:ilvl="5">
      <w:start w:val="1"/>
      <w:numFmt w:val="lowerRoman"/>
      <w:lvlText w:val="(%6)"/>
      <w:lvlJc w:val="left"/>
      <w:pPr>
        <w:tabs>
          <w:tab w:val="num" w:pos="1876"/>
        </w:tabs>
        <w:ind w:left="1876" w:hanging="360"/>
      </w:pPr>
      <w:rPr>
        <w:b w:val="0"/>
        <w:i w:val="0"/>
      </w:rPr>
    </w:lvl>
    <w:lvl w:ilvl="6">
      <w:start w:val="1"/>
      <w:numFmt w:val="decimal"/>
      <w:lvlText w:val="%7."/>
      <w:lvlJc w:val="left"/>
      <w:pPr>
        <w:tabs>
          <w:tab w:val="num" w:pos="2236"/>
        </w:tabs>
        <w:ind w:left="2236" w:hanging="360"/>
      </w:pPr>
      <w:rPr>
        <w:b w:val="0"/>
        <w:i w:val="0"/>
      </w:rPr>
    </w:lvl>
    <w:lvl w:ilvl="7">
      <w:start w:val="1"/>
      <w:numFmt w:val="lowerLetter"/>
      <w:lvlText w:val="%8."/>
      <w:lvlJc w:val="left"/>
      <w:pPr>
        <w:tabs>
          <w:tab w:val="num" w:pos="2596"/>
        </w:tabs>
        <w:ind w:left="2596" w:hanging="360"/>
      </w:pPr>
      <w:rPr>
        <w:b w:val="0"/>
        <w:i w:val="0"/>
      </w:rPr>
    </w:lvl>
    <w:lvl w:ilvl="8">
      <w:start w:val="1"/>
      <w:numFmt w:val="lowerRoman"/>
      <w:lvlText w:val="%9."/>
      <w:lvlJc w:val="left"/>
      <w:pPr>
        <w:tabs>
          <w:tab w:val="num" w:pos="2956"/>
        </w:tabs>
        <w:ind w:left="2956" w:hanging="360"/>
      </w:pPr>
      <w:rPr>
        <w:b w:val="0"/>
        <w:i w:val="0"/>
      </w:rPr>
    </w:lvl>
  </w:abstractNum>
  <w:abstractNum w:abstractNumId="14">
    <w:nsid w:val="17BD6A91"/>
    <w:multiLevelType w:val="hybridMultilevel"/>
    <w:tmpl w:val="1AB631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6">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nsid w:val="244237C5"/>
    <w:multiLevelType w:val="multilevel"/>
    <w:tmpl w:val="E4E02A0E"/>
    <w:name w:val="StandardNumberedList"/>
    <w:lvl w:ilvl="0">
      <w:start w:val="1"/>
      <w:numFmt w:val="decimal"/>
      <w:lvlRestart w:val="0"/>
      <w:pStyle w:val="OutlineNumbered4"/>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701"/>
        </w:tabs>
        <w:ind w:left="1701" w:hanging="567"/>
      </w:pPr>
      <w:rPr>
        <w:rFonts w:hint="default"/>
        <w:b w:val="0"/>
        <w:i w:val="0"/>
      </w:rPr>
    </w:lvl>
    <w:lvl w:ilvl="3">
      <w:start w:val="1"/>
      <w:numFmt w:val="decimal"/>
      <w:pStyle w:val="OutlineNumbered4"/>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9">
    <w:nsid w:val="27440C8B"/>
    <w:multiLevelType w:val="multilevel"/>
    <w:tmpl w:val="E0B06A1E"/>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2">
    <w:nsid w:val="3584363F"/>
    <w:multiLevelType w:val="hybridMultilevel"/>
    <w:tmpl w:val="E65859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23">
    <w:nsid w:val="38BF46BF"/>
    <w:multiLevelType w:val="hybridMultilevel"/>
    <w:tmpl w:val="97A4DB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3C554A3D"/>
    <w:multiLevelType w:val="multilevel"/>
    <w:tmpl w:val="4302358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C857931"/>
    <w:multiLevelType w:val="singleLevel"/>
    <w:tmpl w:val="0C09000F"/>
    <w:lvl w:ilvl="0">
      <w:start w:val="1"/>
      <w:numFmt w:val="decimal"/>
      <w:lvlText w:val="%1."/>
      <w:lvlJc w:val="left"/>
      <w:pPr>
        <w:tabs>
          <w:tab w:val="num" w:pos="720"/>
        </w:tabs>
        <w:ind w:left="720" w:hanging="360"/>
      </w:pPr>
    </w:lvl>
  </w:abstractNum>
  <w:abstractNum w:abstractNumId="26">
    <w:nsid w:val="418B22D4"/>
    <w:multiLevelType w:val="singleLevel"/>
    <w:tmpl w:val="0C09000F"/>
    <w:lvl w:ilvl="0">
      <w:start w:val="1"/>
      <w:numFmt w:val="decimal"/>
      <w:lvlText w:val="%1."/>
      <w:lvlJc w:val="left"/>
      <w:pPr>
        <w:tabs>
          <w:tab w:val="num" w:pos="720"/>
        </w:tabs>
        <w:ind w:left="720" w:hanging="360"/>
      </w:pPr>
    </w:lvl>
  </w:abstractNum>
  <w:abstractNum w:abstractNumId="27">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8">
    <w:nsid w:val="482E454E"/>
    <w:multiLevelType w:val="multilevel"/>
    <w:tmpl w:val="0030AC6E"/>
    <w:styleLink w:val="RecommendationList"/>
    <w:lvl w:ilvl="0">
      <w:start w:val="1"/>
      <w:numFmt w:val="bullet"/>
      <w:lvlRestart w:val="0"/>
      <w:lvlText w:val="•"/>
      <w:lvlJc w:val="left"/>
      <w:pPr>
        <w:tabs>
          <w:tab w:val="num" w:pos="567"/>
        </w:tabs>
        <w:ind w:left="567" w:hanging="283"/>
      </w:pPr>
      <w:rPr>
        <w:rFonts w:hint="default"/>
        <w:b w:val="0"/>
        <w:i w:val="0"/>
      </w:rPr>
    </w:lvl>
    <w:lvl w:ilvl="1">
      <w:start w:val="1"/>
      <w:numFmt w:val="bullet"/>
      <w:lvlText w:val="–"/>
      <w:lvlJc w:val="left"/>
      <w:pPr>
        <w:tabs>
          <w:tab w:val="num" w:pos="1134"/>
        </w:tabs>
        <w:ind w:left="1134" w:hanging="567"/>
      </w:pPr>
      <w:rPr>
        <w:rFonts w:hint="default"/>
        <w:b w:val="0"/>
        <w:i w:val="0"/>
      </w:rPr>
    </w:lvl>
    <w:lvl w:ilvl="2">
      <w:start w:val="1"/>
      <w:numFmt w:val="bullet"/>
      <w:lvlText w:val=":"/>
      <w:lvlJc w:val="left"/>
      <w:pPr>
        <w:tabs>
          <w:tab w:val="num" w:pos="1418"/>
        </w:tabs>
        <w:ind w:left="1418" w:hanging="567"/>
      </w:pPr>
      <w:rPr>
        <w:rFonts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29">
    <w:nsid w:val="49A03A4D"/>
    <w:multiLevelType w:val="hybridMultilevel"/>
    <w:tmpl w:val="B212DF2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1">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2">
    <w:nsid w:val="535357C1"/>
    <w:multiLevelType w:val="singleLevel"/>
    <w:tmpl w:val="0C09000F"/>
    <w:lvl w:ilvl="0">
      <w:start w:val="1"/>
      <w:numFmt w:val="decimal"/>
      <w:lvlText w:val="%1."/>
      <w:lvlJc w:val="left"/>
      <w:pPr>
        <w:tabs>
          <w:tab w:val="num" w:pos="720"/>
        </w:tabs>
        <w:ind w:left="720" w:hanging="360"/>
      </w:pPr>
    </w:lvl>
  </w:abstractNum>
  <w:abstractNum w:abstractNumId="33">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4">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5">
    <w:nsid w:val="59AB3924"/>
    <w:multiLevelType w:val="hybridMultilevel"/>
    <w:tmpl w:val="AD841668"/>
    <w:lvl w:ilvl="0" w:tplc="0C090017">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6">
    <w:nsid w:val="5CA91540"/>
    <w:multiLevelType w:val="hybridMultilevel"/>
    <w:tmpl w:val="F23CA252"/>
    <w:lvl w:ilvl="0" w:tplc="D472CC8E">
      <w:start w:val="1"/>
      <w:numFmt w:val="decimal"/>
      <w:lvlText w:val="%1"/>
      <w:lvlJc w:val="left"/>
      <w:pPr>
        <w:tabs>
          <w:tab w:val="num" w:pos="1004"/>
        </w:tabs>
        <w:ind w:left="1004" w:hanging="284"/>
      </w:pPr>
      <w:rPr>
        <w:rFonts w:ascii="Calibri" w:hAnsi="Calibri" w:cs="Times New Roman" w:hint="default"/>
        <w:b w:val="0"/>
        <w:i w:val="0"/>
        <w:caps w:val="0"/>
        <w:strike w:val="0"/>
        <w:dstrike w:val="0"/>
        <w:outline w:val="0"/>
        <w:shadow w:val="0"/>
        <w:emboss w:val="0"/>
        <w:imprint w:val="0"/>
        <w:vanish w:val="0"/>
        <w:sz w:val="22"/>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8">
    <w:nsid w:val="65FB0D17"/>
    <w:multiLevelType w:val="singleLevel"/>
    <w:tmpl w:val="0C09000F"/>
    <w:lvl w:ilvl="0">
      <w:start w:val="1"/>
      <w:numFmt w:val="decimal"/>
      <w:lvlText w:val="%1."/>
      <w:lvlJc w:val="left"/>
      <w:pPr>
        <w:tabs>
          <w:tab w:val="num" w:pos="720"/>
        </w:tabs>
        <w:ind w:left="720" w:hanging="360"/>
      </w:pPr>
    </w:lvl>
  </w:abstractNum>
  <w:abstractNum w:abstractNumId="39">
    <w:nsid w:val="67AC01F0"/>
    <w:multiLevelType w:val="multilevel"/>
    <w:tmpl w:val="7E2A9D22"/>
    <w:lvl w:ilvl="0">
      <w:start w:val="1"/>
      <w:numFmt w:val="bullet"/>
      <w:lvlText w:val="—"/>
      <w:lvlJc w:val="left"/>
      <w:pPr>
        <w:tabs>
          <w:tab w:val="num" w:pos="850"/>
        </w:tabs>
        <w:ind w:left="850" w:hanging="283"/>
      </w:pPr>
      <w:rPr>
        <w:rFonts w:ascii="Calibri" w:eastAsia="Calibri" w:hAnsi="Calibri" w:cs="Calibri" w:hint="default"/>
        <w:b w:val="0"/>
        <w:i w:val="0"/>
      </w:rPr>
    </w:lvl>
    <w:lvl w:ilvl="1">
      <w:start w:val="1"/>
      <w:numFmt w:val="bullet"/>
      <w:lvlText w:val="–"/>
      <w:lvlJc w:val="left"/>
      <w:pPr>
        <w:tabs>
          <w:tab w:val="num" w:pos="1417"/>
        </w:tabs>
        <w:ind w:left="1417" w:hanging="851"/>
      </w:pPr>
      <w:rPr>
        <w:rFonts w:ascii="Times New Roman" w:hAnsi="Times New Roman" w:cs="Times New Roman" w:hint="default"/>
        <w:b w:val="0"/>
        <w:i w:val="0"/>
      </w:rPr>
    </w:lvl>
    <w:lvl w:ilvl="2">
      <w:start w:val="1"/>
      <w:numFmt w:val="bullet"/>
      <w:lvlText w:val=":"/>
      <w:lvlJc w:val="left"/>
      <w:pPr>
        <w:tabs>
          <w:tab w:val="num" w:pos="1133"/>
        </w:tabs>
        <w:ind w:left="1133" w:hanging="283"/>
      </w:pPr>
      <w:rPr>
        <w:rFonts w:ascii="Times New Roman" w:hAnsi="Times New Roman" w:cs="Times New Roman" w:hint="default"/>
        <w:b w:val="0"/>
        <w:i w:val="0"/>
      </w:rPr>
    </w:lvl>
    <w:lvl w:ilvl="3">
      <w:start w:val="1"/>
      <w:numFmt w:val="decimal"/>
      <w:lvlText w:val="(%4)"/>
      <w:lvlJc w:val="left"/>
      <w:pPr>
        <w:tabs>
          <w:tab w:val="num" w:pos="1723"/>
        </w:tabs>
        <w:ind w:left="1723" w:hanging="360"/>
      </w:pPr>
      <w:rPr>
        <w:b w:val="0"/>
        <w:i w:val="0"/>
      </w:rPr>
    </w:lvl>
    <w:lvl w:ilvl="4">
      <w:start w:val="1"/>
      <w:numFmt w:val="lowerLetter"/>
      <w:lvlText w:val="(%5)"/>
      <w:lvlJc w:val="left"/>
      <w:pPr>
        <w:tabs>
          <w:tab w:val="num" w:pos="2083"/>
        </w:tabs>
        <w:ind w:left="2083" w:hanging="360"/>
      </w:pPr>
      <w:rPr>
        <w:b w:val="0"/>
        <w:i w:val="0"/>
      </w:rPr>
    </w:lvl>
    <w:lvl w:ilvl="5">
      <w:start w:val="1"/>
      <w:numFmt w:val="lowerRoman"/>
      <w:lvlText w:val="(%6)"/>
      <w:lvlJc w:val="left"/>
      <w:pPr>
        <w:tabs>
          <w:tab w:val="num" w:pos="2443"/>
        </w:tabs>
        <w:ind w:left="2443" w:hanging="360"/>
      </w:pPr>
      <w:rPr>
        <w:b w:val="0"/>
        <w:i w:val="0"/>
      </w:rPr>
    </w:lvl>
    <w:lvl w:ilvl="6">
      <w:start w:val="1"/>
      <w:numFmt w:val="decimal"/>
      <w:lvlText w:val="%7."/>
      <w:lvlJc w:val="left"/>
      <w:pPr>
        <w:tabs>
          <w:tab w:val="num" w:pos="2803"/>
        </w:tabs>
        <w:ind w:left="2803" w:hanging="360"/>
      </w:pPr>
      <w:rPr>
        <w:b w:val="0"/>
        <w:i w:val="0"/>
      </w:rPr>
    </w:lvl>
    <w:lvl w:ilvl="7">
      <w:start w:val="1"/>
      <w:numFmt w:val="lowerLetter"/>
      <w:lvlText w:val="%8."/>
      <w:lvlJc w:val="left"/>
      <w:pPr>
        <w:tabs>
          <w:tab w:val="num" w:pos="3163"/>
        </w:tabs>
        <w:ind w:left="3163" w:hanging="360"/>
      </w:pPr>
      <w:rPr>
        <w:b w:val="0"/>
        <w:i w:val="0"/>
      </w:rPr>
    </w:lvl>
    <w:lvl w:ilvl="8">
      <w:start w:val="1"/>
      <w:numFmt w:val="lowerRoman"/>
      <w:lvlText w:val="%9."/>
      <w:lvlJc w:val="left"/>
      <w:pPr>
        <w:tabs>
          <w:tab w:val="num" w:pos="3523"/>
        </w:tabs>
        <w:ind w:left="3523" w:hanging="360"/>
      </w:pPr>
      <w:rPr>
        <w:b w:val="0"/>
        <w:i w:val="0"/>
      </w:rPr>
    </w:lvl>
  </w:abstractNum>
  <w:abstractNum w:abstractNumId="40">
    <w:nsid w:val="69C026BD"/>
    <w:multiLevelType w:val="hybridMultilevel"/>
    <w:tmpl w:val="AB149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B7924D3"/>
    <w:multiLevelType w:val="hybridMultilevel"/>
    <w:tmpl w:val="6A86FCAC"/>
    <w:lvl w:ilvl="0" w:tplc="0C090001">
      <w:start w:val="1"/>
      <w:numFmt w:val="bullet"/>
      <w:lvlText w:val=""/>
      <w:lvlJc w:val="left"/>
      <w:pPr>
        <w:tabs>
          <w:tab w:val="num" w:pos="720"/>
        </w:tabs>
        <w:ind w:left="720" w:hanging="360"/>
      </w:pPr>
      <w:rPr>
        <w:rFonts w:ascii="Symbol" w:hAnsi="Symbol" w:hint="default"/>
      </w:rPr>
    </w:lvl>
    <w:lvl w:ilvl="1" w:tplc="8690AD64">
      <w:start w:val="4"/>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FAD5F19"/>
    <w:multiLevelType w:val="hybridMultilevel"/>
    <w:tmpl w:val="A0D0D318"/>
    <w:lvl w:ilvl="0" w:tplc="19808A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7"/>
  </w:num>
  <w:num w:numId="3">
    <w:abstractNumId w:val="21"/>
  </w:num>
  <w:num w:numId="4">
    <w:abstractNumId w:val="30"/>
  </w:num>
  <w:num w:numId="5">
    <w:abstractNumId w:val="16"/>
  </w:num>
  <w:num w:numId="6">
    <w:abstractNumId w:val="16"/>
  </w:num>
  <w:num w:numId="7">
    <w:abstractNumId w:val="16"/>
  </w:num>
  <w:num w:numId="8">
    <w:abstractNumId w:val="41"/>
  </w:num>
  <w:num w:numId="9">
    <w:abstractNumId w:val="34"/>
  </w:num>
  <w:num w:numId="10">
    <w:abstractNumId w:val="15"/>
  </w:num>
  <w:num w:numId="11">
    <w:abstractNumId w:val="3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 w:numId="23">
    <w:abstractNumId w:val="31"/>
  </w:num>
  <w:num w:numId="24">
    <w:abstractNumId w:val="33"/>
  </w:num>
  <w:num w:numId="25">
    <w:abstractNumId w:val="18"/>
  </w:num>
  <w:num w:numId="26">
    <w:abstractNumId w:val="27"/>
  </w:num>
  <w:num w:numId="27">
    <w:abstractNumId w:val="11"/>
  </w:num>
  <w:num w:numId="28">
    <w:abstractNumId w:val="24"/>
  </w:num>
  <w:num w:numId="29">
    <w:abstractNumId w:val="29"/>
  </w:num>
  <w:num w:numId="30">
    <w:abstractNumId w:val="14"/>
  </w:num>
  <w:num w:numId="31">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40"/>
  </w:num>
  <w:num w:numId="36">
    <w:abstractNumId w:val="10"/>
  </w:num>
  <w:num w:numId="37">
    <w:abstractNumId w:val="22"/>
  </w:num>
  <w:num w:numId="38">
    <w:abstractNumId w:val="43"/>
  </w:num>
  <w:num w:numId="39">
    <w:abstractNumId w:val="19"/>
  </w:num>
  <w:num w:numId="40">
    <w:abstractNumId w:val="19"/>
  </w:num>
  <w:num w:numId="41">
    <w:abstractNumId w:val="19"/>
  </w:num>
  <w:num w:numId="42">
    <w:abstractNumId w:val="19"/>
  </w:num>
  <w:num w:numId="43">
    <w:abstractNumId w:val="42"/>
  </w:num>
  <w:num w:numId="44">
    <w:abstractNumId w:val="35"/>
  </w:num>
  <w:num w:numId="45">
    <w:abstractNumId w:val="23"/>
  </w:num>
  <w:num w:numId="46">
    <w:abstractNumId w:val="36"/>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19"/>
  </w:num>
  <w:num w:numId="50">
    <w:abstractNumId w:val="19"/>
  </w:num>
  <w:num w:numId="51">
    <w:abstractNumId w:val="19"/>
  </w:num>
  <w:num w:numId="52">
    <w:abstractNumId w:val="19"/>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898"/>
    <w:rsid w:val="000044FE"/>
    <w:rsid w:val="00004D91"/>
    <w:rsid w:val="00016F6E"/>
    <w:rsid w:val="000243B3"/>
    <w:rsid w:val="00041103"/>
    <w:rsid w:val="00044A99"/>
    <w:rsid w:val="00045EDE"/>
    <w:rsid w:val="00046047"/>
    <w:rsid w:val="000544C9"/>
    <w:rsid w:val="000550DF"/>
    <w:rsid w:val="00060867"/>
    <w:rsid w:val="0006355E"/>
    <w:rsid w:val="000705D6"/>
    <w:rsid w:val="000733B3"/>
    <w:rsid w:val="000737A3"/>
    <w:rsid w:val="000758ED"/>
    <w:rsid w:val="00081CBD"/>
    <w:rsid w:val="00084074"/>
    <w:rsid w:val="00086B53"/>
    <w:rsid w:val="00086D13"/>
    <w:rsid w:val="00093EBE"/>
    <w:rsid w:val="00094A6F"/>
    <w:rsid w:val="000952D4"/>
    <w:rsid w:val="000A11CF"/>
    <w:rsid w:val="000A6E6A"/>
    <w:rsid w:val="000B1504"/>
    <w:rsid w:val="000B24D3"/>
    <w:rsid w:val="000C639F"/>
    <w:rsid w:val="000C76B4"/>
    <w:rsid w:val="000D017E"/>
    <w:rsid w:val="000D7A88"/>
    <w:rsid w:val="000E044E"/>
    <w:rsid w:val="000E2B77"/>
    <w:rsid w:val="000E3031"/>
    <w:rsid w:val="0010017E"/>
    <w:rsid w:val="00101D80"/>
    <w:rsid w:val="00102005"/>
    <w:rsid w:val="0010695B"/>
    <w:rsid w:val="00106D2D"/>
    <w:rsid w:val="001133A0"/>
    <w:rsid w:val="00114B00"/>
    <w:rsid w:val="00117760"/>
    <w:rsid w:val="00117F70"/>
    <w:rsid w:val="00120242"/>
    <w:rsid w:val="00120C43"/>
    <w:rsid w:val="00124B92"/>
    <w:rsid w:val="00126417"/>
    <w:rsid w:val="00126F2B"/>
    <w:rsid w:val="00127D1B"/>
    <w:rsid w:val="00127F17"/>
    <w:rsid w:val="001323C9"/>
    <w:rsid w:val="00132441"/>
    <w:rsid w:val="00132A59"/>
    <w:rsid w:val="00132D03"/>
    <w:rsid w:val="00134E2B"/>
    <w:rsid w:val="0013660D"/>
    <w:rsid w:val="00136A78"/>
    <w:rsid w:val="00137D56"/>
    <w:rsid w:val="00141A3B"/>
    <w:rsid w:val="00141FE3"/>
    <w:rsid w:val="00154073"/>
    <w:rsid w:val="00157230"/>
    <w:rsid w:val="00157830"/>
    <w:rsid w:val="00162FE5"/>
    <w:rsid w:val="00164A4A"/>
    <w:rsid w:val="00166DBF"/>
    <w:rsid w:val="001722E8"/>
    <w:rsid w:val="00175F06"/>
    <w:rsid w:val="00182A7B"/>
    <w:rsid w:val="00183BBF"/>
    <w:rsid w:val="00183DD9"/>
    <w:rsid w:val="00183E21"/>
    <w:rsid w:val="001910EF"/>
    <w:rsid w:val="0019261D"/>
    <w:rsid w:val="00192F5F"/>
    <w:rsid w:val="001943D5"/>
    <w:rsid w:val="001958E2"/>
    <w:rsid w:val="001A0DAA"/>
    <w:rsid w:val="001A65D4"/>
    <w:rsid w:val="001B20D7"/>
    <w:rsid w:val="001B3353"/>
    <w:rsid w:val="001C0532"/>
    <w:rsid w:val="001C1B85"/>
    <w:rsid w:val="001D16FC"/>
    <w:rsid w:val="001D761E"/>
    <w:rsid w:val="001E2C18"/>
    <w:rsid w:val="001F44EC"/>
    <w:rsid w:val="001F614A"/>
    <w:rsid w:val="001F65B8"/>
    <w:rsid w:val="00200FBF"/>
    <w:rsid w:val="00201D2A"/>
    <w:rsid w:val="00210A7F"/>
    <w:rsid w:val="00211A23"/>
    <w:rsid w:val="0021784B"/>
    <w:rsid w:val="00220440"/>
    <w:rsid w:val="00224A32"/>
    <w:rsid w:val="00230A2E"/>
    <w:rsid w:val="00231786"/>
    <w:rsid w:val="0023333A"/>
    <w:rsid w:val="0023428E"/>
    <w:rsid w:val="00235DE1"/>
    <w:rsid w:val="00235FE9"/>
    <w:rsid w:val="002371CE"/>
    <w:rsid w:val="002371E4"/>
    <w:rsid w:val="002409FB"/>
    <w:rsid w:val="00245516"/>
    <w:rsid w:val="00245CA3"/>
    <w:rsid w:val="002556C3"/>
    <w:rsid w:val="0026348D"/>
    <w:rsid w:val="00265879"/>
    <w:rsid w:val="002663BE"/>
    <w:rsid w:val="00271254"/>
    <w:rsid w:val="00272480"/>
    <w:rsid w:val="00272D2D"/>
    <w:rsid w:val="00273EB7"/>
    <w:rsid w:val="00274E37"/>
    <w:rsid w:val="00275486"/>
    <w:rsid w:val="002766C6"/>
    <w:rsid w:val="002774A2"/>
    <w:rsid w:val="002840EB"/>
    <w:rsid w:val="00285298"/>
    <w:rsid w:val="00286CC9"/>
    <w:rsid w:val="002912ED"/>
    <w:rsid w:val="00291A34"/>
    <w:rsid w:val="002A02C1"/>
    <w:rsid w:val="002A2C88"/>
    <w:rsid w:val="002A3EF7"/>
    <w:rsid w:val="002A50B4"/>
    <w:rsid w:val="002B234E"/>
    <w:rsid w:val="002B26AD"/>
    <w:rsid w:val="002C021E"/>
    <w:rsid w:val="002C0898"/>
    <w:rsid w:val="002C10AC"/>
    <w:rsid w:val="002C1232"/>
    <w:rsid w:val="002C6933"/>
    <w:rsid w:val="002C7FAD"/>
    <w:rsid w:val="002D1076"/>
    <w:rsid w:val="002D3DEA"/>
    <w:rsid w:val="002D5DC7"/>
    <w:rsid w:val="002E37CD"/>
    <w:rsid w:val="002E4DB7"/>
    <w:rsid w:val="002F0740"/>
    <w:rsid w:val="002F2E22"/>
    <w:rsid w:val="002F4FFB"/>
    <w:rsid w:val="002F59A1"/>
    <w:rsid w:val="002F72D0"/>
    <w:rsid w:val="00300CAF"/>
    <w:rsid w:val="00301C87"/>
    <w:rsid w:val="0030209A"/>
    <w:rsid w:val="0030239B"/>
    <w:rsid w:val="00305AFE"/>
    <w:rsid w:val="00306029"/>
    <w:rsid w:val="00310E46"/>
    <w:rsid w:val="003137F6"/>
    <w:rsid w:val="00316258"/>
    <w:rsid w:val="003171C9"/>
    <w:rsid w:val="00317ABA"/>
    <w:rsid w:val="00320EDC"/>
    <w:rsid w:val="00321877"/>
    <w:rsid w:val="00322A06"/>
    <w:rsid w:val="00327919"/>
    <w:rsid w:val="0033172C"/>
    <w:rsid w:val="00337DED"/>
    <w:rsid w:val="00341F9A"/>
    <w:rsid w:val="00344821"/>
    <w:rsid w:val="0034514B"/>
    <w:rsid w:val="003457C2"/>
    <w:rsid w:val="003465E4"/>
    <w:rsid w:val="003516A0"/>
    <w:rsid w:val="00352B58"/>
    <w:rsid w:val="00355D72"/>
    <w:rsid w:val="0035702F"/>
    <w:rsid w:val="00357AA7"/>
    <w:rsid w:val="00357E2F"/>
    <w:rsid w:val="00372F87"/>
    <w:rsid w:val="003833A4"/>
    <w:rsid w:val="00384862"/>
    <w:rsid w:val="00384C04"/>
    <w:rsid w:val="00385390"/>
    <w:rsid w:val="0038593E"/>
    <w:rsid w:val="00386B07"/>
    <w:rsid w:val="00390BF4"/>
    <w:rsid w:val="003910CB"/>
    <w:rsid w:val="003944F8"/>
    <w:rsid w:val="00396E48"/>
    <w:rsid w:val="00397920"/>
    <w:rsid w:val="003A0572"/>
    <w:rsid w:val="003A14B5"/>
    <w:rsid w:val="003A3EF3"/>
    <w:rsid w:val="003A5E86"/>
    <w:rsid w:val="003B0169"/>
    <w:rsid w:val="003B0BE0"/>
    <w:rsid w:val="003B1E4E"/>
    <w:rsid w:val="003C0DFA"/>
    <w:rsid w:val="003C34C1"/>
    <w:rsid w:val="003C69B6"/>
    <w:rsid w:val="003C74D5"/>
    <w:rsid w:val="003D0A29"/>
    <w:rsid w:val="003D217F"/>
    <w:rsid w:val="003D4893"/>
    <w:rsid w:val="003D4933"/>
    <w:rsid w:val="003D5638"/>
    <w:rsid w:val="003E099F"/>
    <w:rsid w:val="003E343E"/>
    <w:rsid w:val="003E7869"/>
    <w:rsid w:val="003F4231"/>
    <w:rsid w:val="003F716D"/>
    <w:rsid w:val="004012F3"/>
    <w:rsid w:val="00401487"/>
    <w:rsid w:val="004026A1"/>
    <w:rsid w:val="00402C14"/>
    <w:rsid w:val="0040344D"/>
    <w:rsid w:val="00403DCE"/>
    <w:rsid w:val="00404F9E"/>
    <w:rsid w:val="004054F8"/>
    <w:rsid w:val="0041213D"/>
    <w:rsid w:val="00423C1D"/>
    <w:rsid w:val="00426FDB"/>
    <w:rsid w:val="00430178"/>
    <w:rsid w:val="00431289"/>
    <w:rsid w:val="00437B2C"/>
    <w:rsid w:val="00437E9B"/>
    <w:rsid w:val="00441A23"/>
    <w:rsid w:val="00446B23"/>
    <w:rsid w:val="0045007F"/>
    <w:rsid w:val="0045103C"/>
    <w:rsid w:val="00451733"/>
    <w:rsid w:val="00452474"/>
    <w:rsid w:val="00455300"/>
    <w:rsid w:val="00455542"/>
    <w:rsid w:val="00455A07"/>
    <w:rsid w:val="004659A8"/>
    <w:rsid w:val="0046682D"/>
    <w:rsid w:val="004712A4"/>
    <w:rsid w:val="00474487"/>
    <w:rsid w:val="00475916"/>
    <w:rsid w:val="004A05A9"/>
    <w:rsid w:val="004A1223"/>
    <w:rsid w:val="004A1773"/>
    <w:rsid w:val="004A2CEB"/>
    <w:rsid w:val="004A31E6"/>
    <w:rsid w:val="004A7811"/>
    <w:rsid w:val="004C1ADA"/>
    <w:rsid w:val="004D2468"/>
    <w:rsid w:val="004D306F"/>
    <w:rsid w:val="004D5177"/>
    <w:rsid w:val="004D6585"/>
    <w:rsid w:val="004E37A7"/>
    <w:rsid w:val="004E5E92"/>
    <w:rsid w:val="004E755D"/>
    <w:rsid w:val="004E7E9F"/>
    <w:rsid w:val="004F0F7D"/>
    <w:rsid w:val="004F27E0"/>
    <w:rsid w:val="004F3C27"/>
    <w:rsid w:val="004F6967"/>
    <w:rsid w:val="004F6F3E"/>
    <w:rsid w:val="00501C1A"/>
    <w:rsid w:val="005050B7"/>
    <w:rsid w:val="00526224"/>
    <w:rsid w:val="005323B8"/>
    <w:rsid w:val="00533FEC"/>
    <w:rsid w:val="00541634"/>
    <w:rsid w:val="00541C37"/>
    <w:rsid w:val="0054381C"/>
    <w:rsid w:val="00546A9E"/>
    <w:rsid w:val="0055275F"/>
    <w:rsid w:val="005531B4"/>
    <w:rsid w:val="00553D12"/>
    <w:rsid w:val="00563A2D"/>
    <w:rsid w:val="005643CA"/>
    <w:rsid w:val="005644EB"/>
    <w:rsid w:val="00565AB5"/>
    <w:rsid w:val="00571D69"/>
    <w:rsid w:val="00575DC4"/>
    <w:rsid w:val="00576997"/>
    <w:rsid w:val="005833E4"/>
    <w:rsid w:val="00584616"/>
    <w:rsid w:val="00585354"/>
    <w:rsid w:val="00585E18"/>
    <w:rsid w:val="00590B79"/>
    <w:rsid w:val="00596BE6"/>
    <w:rsid w:val="005A1253"/>
    <w:rsid w:val="005A1F9A"/>
    <w:rsid w:val="005A4357"/>
    <w:rsid w:val="005A6239"/>
    <w:rsid w:val="005A7665"/>
    <w:rsid w:val="005B0975"/>
    <w:rsid w:val="005B1DED"/>
    <w:rsid w:val="005C0E36"/>
    <w:rsid w:val="005C2728"/>
    <w:rsid w:val="005C2A81"/>
    <w:rsid w:val="005C435F"/>
    <w:rsid w:val="005C6462"/>
    <w:rsid w:val="005C796F"/>
    <w:rsid w:val="005D6CDD"/>
    <w:rsid w:val="005E1773"/>
    <w:rsid w:val="005E2E1C"/>
    <w:rsid w:val="005E4731"/>
    <w:rsid w:val="005E76C1"/>
    <w:rsid w:val="005F15FE"/>
    <w:rsid w:val="005F40F3"/>
    <w:rsid w:val="005F5607"/>
    <w:rsid w:val="006011CB"/>
    <w:rsid w:val="006046BE"/>
    <w:rsid w:val="00607557"/>
    <w:rsid w:val="00612591"/>
    <w:rsid w:val="006220EC"/>
    <w:rsid w:val="00626599"/>
    <w:rsid w:val="00633142"/>
    <w:rsid w:val="00633421"/>
    <w:rsid w:val="00633D4A"/>
    <w:rsid w:val="006368BB"/>
    <w:rsid w:val="00640F19"/>
    <w:rsid w:val="00643145"/>
    <w:rsid w:val="00654787"/>
    <w:rsid w:val="00665F55"/>
    <w:rsid w:val="00670B84"/>
    <w:rsid w:val="006717F7"/>
    <w:rsid w:val="0067215B"/>
    <w:rsid w:val="00676720"/>
    <w:rsid w:val="00676CF0"/>
    <w:rsid w:val="006770EE"/>
    <w:rsid w:val="00681218"/>
    <w:rsid w:val="00681AAB"/>
    <w:rsid w:val="00682052"/>
    <w:rsid w:val="00684742"/>
    <w:rsid w:val="00687488"/>
    <w:rsid w:val="0069192C"/>
    <w:rsid w:val="006A021B"/>
    <w:rsid w:val="006A5E2C"/>
    <w:rsid w:val="006A787E"/>
    <w:rsid w:val="006B0406"/>
    <w:rsid w:val="006B1FFD"/>
    <w:rsid w:val="006B4328"/>
    <w:rsid w:val="006C3638"/>
    <w:rsid w:val="006C529B"/>
    <w:rsid w:val="006D283E"/>
    <w:rsid w:val="006D2ABC"/>
    <w:rsid w:val="006D3712"/>
    <w:rsid w:val="006D3724"/>
    <w:rsid w:val="006D3F68"/>
    <w:rsid w:val="006E03C1"/>
    <w:rsid w:val="006E2930"/>
    <w:rsid w:val="0070192E"/>
    <w:rsid w:val="007023C8"/>
    <w:rsid w:val="007047AC"/>
    <w:rsid w:val="00706A40"/>
    <w:rsid w:val="00706DB9"/>
    <w:rsid w:val="007132A9"/>
    <w:rsid w:val="00715607"/>
    <w:rsid w:val="0072594D"/>
    <w:rsid w:val="0072683B"/>
    <w:rsid w:val="0072716C"/>
    <w:rsid w:val="00731378"/>
    <w:rsid w:val="007423FC"/>
    <w:rsid w:val="00755B2E"/>
    <w:rsid w:val="00756A29"/>
    <w:rsid w:val="007611BE"/>
    <w:rsid w:val="00765E8A"/>
    <w:rsid w:val="0077132D"/>
    <w:rsid w:val="007732E8"/>
    <w:rsid w:val="007746DB"/>
    <w:rsid w:val="0077523B"/>
    <w:rsid w:val="00775DB6"/>
    <w:rsid w:val="00790DA8"/>
    <w:rsid w:val="00791CB9"/>
    <w:rsid w:val="00795497"/>
    <w:rsid w:val="00795FCA"/>
    <w:rsid w:val="00797924"/>
    <w:rsid w:val="007A0B54"/>
    <w:rsid w:val="007B587A"/>
    <w:rsid w:val="007C0251"/>
    <w:rsid w:val="007C0FA9"/>
    <w:rsid w:val="007C2061"/>
    <w:rsid w:val="007C3980"/>
    <w:rsid w:val="007C5B21"/>
    <w:rsid w:val="007C7A90"/>
    <w:rsid w:val="007D01A0"/>
    <w:rsid w:val="007D08F3"/>
    <w:rsid w:val="007D2A9B"/>
    <w:rsid w:val="007D6683"/>
    <w:rsid w:val="007E1908"/>
    <w:rsid w:val="007E20F4"/>
    <w:rsid w:val="007F0746"/>
    <w:rsid w:val="007F0BE8"/>
    <w:rsid w:val="007F4A6C"/>
    <w:rsid w:val="007F69FE"/>
    <w:rsid w:val="008019EC"/>
    <w:rsid w:val="00802DAA"/>
    <w:rsid w:val="00804253"/>
    <w:rsid w:val="0080657B"/>
    <w:rsid w:val="00807062"/>
    <w:rsid w:val="008100A0"/>
    <w:rsid w:val="00810AE8"/>
    <w:rsid w:val="00810AF2"/>
    <w:rsid w:val="008116D5"/>
    <w:rsid w:val="00815F04"/>
    <w:rsid w:val="008206B7"/>
    <w:rsid w:val="00820ECE"/>
    <w:rsid w:val="00825F76"/>
    <w:rsid w:val="008305A6"/>
    <w:rsid w:val="008307B8"/>
    <w:rsid w:val="0083285E"/>
    <w:rsid w:val="00833FA3"/>
    <w:rsid w:val="00836B57"/>
    <w:rsid w:val="0084211F"/>
    <w:rsid w:val="00842E86"/>
    <w:rsid w:val="008511FD"/>
    <w:rsid w:val="0085291A"/>
    <w:rsid w:val="00852B2F"/>
    <w:rsid w:val="00855A70"/>
    <w:rsid w:val="008569D6"/>
    <w:rsid w:val="008577F7"/>
    <w:rsid w:val="00860C4B"/>
    <w:rsid w:val="00860C64"/>
    <w:rsid w:val="00860E56"/>
    <w:rsid w:val="00862564"/>
    <w:rsid w:val="00863D23"/>
    <w:rsid w:val="00865B2C"/>
    <w:rsid w:val="00866889"/>
    <w:rsid w:val="0087597A"/>
    <w:rsid w:val="00876310"/>
    <w:rsid w:val="00877585"/>
    <w:rsid w:val="00886538"/>
    <w:rsid w:val="00896B15"/>
    <w:rsid w:val="008A027B"/>
    <w:rsid w:val="008A7FAF"/>
    <w:rsid w:val="008B2860"/>
    <w:rsid w:val="008B2A66"/>
    <w:rsid w:val="008B4088"/>
    <w:rsid w:val="008B4E20"/>
    <w:rsid w:val="008B599D"/>
    <w:rsid w:val="008C25D6"/>
    <w:rsid w:val="008C3932"/>
    <w:rsid w:val="008C3D2C"/>
    <w:rsid w:val="008C63C3"/>
    <w:rsid w:val="008D3EBD"/>
    <w:rsid w:val="008D6825"/>
    <w:rsid w:val="008D6AFC"/>
    <w:rsid w:val="008E0F7B"/>
    <w:rsid w:val="008E5209"/>
    <w:rsid w:val="008F6620"/>
    <w:rsid w:val="008F6D40"/>
    <w:rsid w:val="008F6EB6"/>
    <w:rsid w:val="008F76B2"/>
    <w:rsid w:val="008F7FBD"/>
    <w:rsid w:val="00900AC0"/>
    <w:rsid w:val="00902719"/>
    <w:rsid w:val="00903272"/>
    <w:rsid w:val="009033BE"/>
    <w:rsid w:val="00905256"/>
    <w:rsid w:val="00912F54"/>
    <w:rsid w:val="00915173"/>
    <w:rsid w:val="00936F21"/>
    <w:rsid w:val="00944488"/>
    <w:rsid w:val="00944700"/>
    <w:rsid w:val="00944B9A"/>
    <w:rsid w:val="00950DC9"/>
    <w:rsid w:val="00966668"/>
    <w:rsid w:val="009770DA"/>
    <w:rsid w:val="00982B56"/>
    <w:rsid w:val="00983B00"/>
    <w:rsid w:val="00986584"/>
    <w:rsid w:val="009910B7"/>
    <w:rsid w:val="00992D46"/>
    <w:rsid w:val="0099370E"/>
    <w:rsid w:val="009A3A14"/>
    <w:rsid w:val="009A4C04"/>
    <w:rsid w:val="009A4C4B"/>
    <w:rsid w:val="009A508D"/>
    <w:rsid w:val="009A79B7"/>
    <w:rsid w:val="009B290C"/>
    <w:rsid w:val="009C1C5F"/>
    <w:rsid w:val="009C2DEB"/>
    <w:rsid w:val="009C6840"/>
    <w:rsid w:val="009C7099"/>
    <w:rsid w:val="009D1C43"/>
    <w:rsid w:val="009D44B2"/>
    <w:rsid w:val="009D5C6C"/>
    <w:rsid w:val="009D7A5F"/>
    <w:rsid w:val="009E172B"/>
    <w:rsid w:val="009E5823"/>
    <w:rsid w:val="009E76CA"/>
    <w:rsid w:val="009F2A8B"/>
    <w:rsid w:val="009F7C58"/>
    <w:rsid w:val="00A102D2"/>
    <w:rsid w:val="00A14C3B"/>
    <w:rsid w:val="00A15BB1"/>
    <w:rsid w:val="00A20DD0"/>
    <w:rsid w:val="00A2332D"/>
    <w:rsid w:val="00A26BD5"/>
    <w:rsid w:val="00A3079B"/>
    <w:rsid w:val="00A325EE"/>
    <w:rsid w:val="00A3313B"/>
    <w:rsid w:val="00A34421"/>
    <w:rsid w:val="00A440BA"/>
    <w:rsid w:val="00A455D7"/>
    <w:rsid w:val="00A4570E"/>
    <w:rsid w:val="00A459B2"/>
    <w:rsid w:val="00A45DA0"/>
    <w:rsid w:val="00A53047"/>
    <w:rsid w:val="00A53D56"/>
    <w:rsid w:val="00A55C89"/>
    <w:rsid w:val="00A562C9"/>
    <w:rsid w:val="00A56A37"/>
    <w:rsid w:val="00A60647"/>
    <w:rsid w:val="00A6443C"/>
    <w:rsid w:val="00A660ED"/>
    <w:rsid w:val="00A6653D"/>
    <w:rsid w:val="00A67451"/>
    <w:rsid w:val="00A72A45"/>
    <w:rsid w:val="00A750EF"/>
    <w:rsid w:val="00A772DF"/>
    <w:rsid w:val="00A8077A"/>
    <w:rsid w:val="00A831E0"/>
    <w:rsid w:val="00A9150D"/>
    <w:rsid w:val="00A92E4A"/>
    <w:rsid w:val="00AA4BA3"/>
    <w:rsid w:val="00AA71C6"/>
    <w:rsid w:val="00AB2701"/>
    <w:rsid w:val="00AB5AC0"/>
    <w:rsid w:val="00AC108B"/>
    <w:rsid w:val="00AC2632"/>
    <w:rsid w:val="00AD0BEB"/>
    <w:rsid w:val="00AD34FF"/>
    <w:rsid w:val="00AD3FAB"/>
    <w:rsid w:val="00AD60D7"/>
    <w:rsid w:val="00AD6DE8"/>
    <w:rsid w:val="00AE4278"/>
    <w:rsid w:val="00AE6E09"/>
    <w:rsid w:val="00AF0068"/>
    <w:rsid w:val="00AF0C6F"/>
    <w:rsid w:val="00AF6068"/>
    <w:rsid w:val="00B036ED"/>
    <w:rsid w:val="00B040BC"/>
    <w:rsid w:val="00B0682C"/>
    <w:rsid w:val="00B07CE5"/>
    <w:rsid w:val="00B10DCF"/>
    <w:rsid w:val="00B15F23"/>
    <w:rsid w:val="00B16A6F"/>
    <w:rsid w:val="00B17128"/>
    <w:rsid w:val="00B1733D"/>
    <w:rsid w:val="00B20BE6"/>
    <w:rsid w:val="00B21934"/>
    <w:rsid w:val="00B25D18"/>
    <w:rsid w:val="00B31101"/>
    <w:rsid w:val="00B31457"/>
    <w:rsid w:val="00B328F4"/>
    <w:rsid w:val="00B36404"/>
    <w:rsid w:val="00B4131E"/>
    <w:rsid w:val="00B4160E"/>
    <w:rsid w:val="00B41A15"/>
    <w:rsid w:val="00B47FF5"/>
    <w:rsid w:val="00B542D2"/>
    <w:rsid w:val="00B54ABC"/>
    <w:rsid w:val="00B56558"/>
    <w:rsid w:val="00B57662"/>
    <w:rsid w:val="00B601A0"/>
    <w:rsid w:val="00B607CE"/>
    <w:rsid w:val="00B60F7F"/>
    <w:rsid w:val="00B624C8"/>
    <w:rsid w:val="00B65D22"/>
    <w:rsid w:val="00B701A0"/>
    <w:rsid w:val="00B7093A"/>
    <w:rsid w:val="00B70D91"/>
    <w:rsid w:val="00B723B3"/>
    <w:rsid w:val="00B7333F"/>
    <w:rsid w:val="00B74B73"/>
    <w:rsid w:val="00B75A25"/>
    <w:rsid w:val="00B76D1D"/>
    <w:rsid w:val="00B76F28"/>
    <w:rsid w:val="00B83E76"/>
    <w:rsid w:val="00B9718F"/>
    <w:rsid w:val="00B97548"/>
    <w:rsid w:val="00BA5D68"/>
    <w:rsid w:val="00BB2343"/>
    <w:rsid w:val="00BB475A"/>
    <w:rsid w:val="00BC0420"/>
    <w:rsid w:val="00BC1BE1"/>
    <w:rsid w:val="00BC3E30"/>
    <w:rsid w:val="00BC5298"/>
    <w:rsid w:val="00BC785B"/>
    <w:rsid w:val="00BD2333"/>
    <w:rsid w:val="00BD28F1"/>
    <w:rsid w:val="00BD4461"/>
    <w:rsid w:val="00BE0548"/>
    <w:rsid w:val="00BE728D"/>
    <w:rsid w:val="00BF0EF5"/>
    <w:rsid w:val="00BF2700"/>
    <w:rsid w:val="00BF2A0A"/>
    <w:rsid w:val="00BF30CA"/>
    <w:rsid w:val="00C03D2A"/>
    <w:rsid w:val="00C06DFA"/>
    <w:rsid w:val="00C166B8"/>
    <w:rsid w:val="00C20F1B"/>
    <w:rsid w:val="00C21AC8"/>
    <w:rsid w:val="00C262B1"/>
    <w:rsid w:val="00C3318B"/>
    <w:rsid w:val="00C37D98"/>
    <w:rsid w:val="00C47ED5"/>
    <w:rsid w:val="00C5048F"/>
    <w:rsid w:val="00C51314"/>
    <w:rsid w:val="00C51EBA"/>
    <w:rsid w:val="00C5603F"/>
    <w:rsid w:val="00C57CEE"/>
    <w:rsid w:val="00C60A5C"/>
    <w:rsid w:val="00C65DAC"/>
    <w:rsid w:val="00C70823"/>
    <w:rsid w:val="00C71D7B"/>
    <w:rsid w:val="00C72CE1"/>
    <w:rsid w:val="00C80E4D"/>
    <w:rsid w:val="00C81D45"/>
    <w:rsid w:val="00C92004"/>
    <w:rsid w:val="00C94D4B"/>
    <w:rsid w:val="00C94F24"/>
    <w:rsid w:val="00C9788D"/>
    <w:rsid w:val="00CA2588"/>
    <w:rsid w:val="00CA7131"/>
    <w:rsid w:val="00CA78ED"/>
    <w:rsid w:val="00CA7CBF"/>
    <w:rsid w:val="00CB09E9"/>
    <w:rsid w:val="00CB30B1"/>
    <w:rsid w:val="00CB54A8"/>
    <w:rsid w:val="00CB6748"/>
    <w:rsid w:val="00CD0862"/>
    <w:rsid w:val="00CD565E"/>
    <w:rsid w:val="00CE2898"/>
    <w:rsid w:val="00CF0AD0"/>
    <w:rsid w:val="00CF0B40"/>
    <w:rsid w:val="00CF2175"/>
    <w:rsid w:val="00CF2215"/>
    <w:rsid w:val="00CF34FE"/>
    <w:rsid w:val="00CF3745"/>
    <w:rsid w:val="00CF7D25"/>
    <w:rsid w:val="00D00414"/>
    <w:rsid w:val="00D00B74"/>
    <w:rsid w:val="00D03180"/>
    <w:rsid w:val="00D03AB8"/>
    <w:rsid w:val="00D040E4"/>
    <w:rsid w:val="00D0543B"/>
    <w:rsid w:val="00D0619C"/>
    <w:rsid w:val="00D07AB8"/>
    <w:rsid w:val="00D07D9E"/>
    <w:rsid w:val="00D13B49"/>
    <w:rsid w:val="00D14F73"/>
    <w:rsid w:val="00D16092"/>
    <w:rsid w:val="00D2292B"/>
    <w:rsid w:val="00D2340F"/>
    <w:rsid w:val="00D30286"/>
    <w:rsid w:val="00D30C1F"/>
    <w:rsid w:val="00D3518F"/>
    <w:rsid w:val="00D35CA1"/>
    <w:rsid w:val="00D36B83"/>
    <w:rsid w:val="00D441C4"/>
    <w:rsid w:val="00D44FB3"/>
    <w:rsid w:val="00D52FB7"/>
    <w:rsid w:val="00D53F20"/>
    <w:rsid w:val="00D5658A"/>
    <w:rsid w:val="00D64198"/>
    <w:rsid w:val="00D6441E"/>
    <w:rsid w:val="00D64FA0"/>
    <w:rsid w:val="00D72E95"/>
    <w:rsid w:val="00D74E3D"/>
    <w:rsid w:val="00D75A42"/>
    <w:rsid w:val="00D76C00"/>
    <w:rsid w:val="00D833E0"/>
    <w:rsid w:val="00D86657"/>
    <w:rsid w:val="00D91259"/>
    <w:rsid w:val="00D91277"/>
    <w:rsid w:val="00D9730D"/>
    <w:rsid w:val="00DA28D7"/>
    <w:rsid w:val="00DA5683"/>
    <w:rsid w:val="00DA65CB"/>
    <w:rsid w:val="00DA7B1F"/>
    <w:rsid w:val="00DB14A8"/>
    <w:rsid w:val="00DB20B8"/>
    <w:rsid w:val="00DB5EA2"/>
    <w:rsid w:val="00DC67A5"/>
    <w:rsid w:val="00DD12F2"/>
    <w:rsid w:val="00DD2A0E"/>
    <w:rsid w:val="00DD3454"/>
    <w:rsid w:val="00DD3B0E"/>
    <w:rsid w:val="00DD5F8D"/>
    <w:rsid w:val="00DD6312"/>
    <w:rsid w:val="00DE1F2E"/>
    <w:rsid w:val="00DE3A0B"/>
    <w:rsid w:val="00DF1025"/>
    <w:rsid w:val="00DF2776"/>
    <w:rsid w:val="00DF2E56"/>
    <w:rsid w:val="00DF39C2"/>
    <w:rsid w:val="00DF4636"/>
    <w:rsid w:val="00E0063D"/>
    <w:rsid w:val="00E05CEC"/>
    <w:rsid w:val="00E06E7A"/>
    <w:rsid w:val="00E07913"/>
    <w:rsid w:val="00E12396"/>
    <w:rsid w:val="00E16E6F"/>
    <w:rsid w:val="00E209FB"/>
    <w:rsid w:val="00E21585"/>
    <w:rsid w:val="00E24211"/>
    <w:rsid w:val="00E253EC"/>
    <w:rsid w:val="00E25C59"/>
    <w:rsid w:val="00E25E9F"/>
    <w:rsid w:val="00E270D0"/>
    <w:rsid w:val="00E35922"/>
    <w:rsid w:val="00E42617"/>
    <w:rsid w:val="00E47B69"/>
    <w:rsid w:val="00E5220D"/>
    <w:rsid w:val="00E52314"/>
    <w:rsid w:val="00E52527"/>
    <w:rsid w:val="00E5627B"/>
    <w:rsid w:val="00E56A11"/>
    <w:rsid w:val="00E574BC"/>
    <w:rsid w:val="00E63B82"/>
    <w:rsid w:val="00E65BB2"/>
    <w:rsid w:val="00E675D8"/>
    <w:rsid w:val="00E712B1"/>
    <w:rsid w:val="00E71862"/>
    <w:rsid w:val="00E73497"/>
    <w:rsid w:val="00E848ED"/>
    <w:rsid w:val="00E8602D"/>
    <w:rsid w:val="00E87AC2"/>
    <w:rsid w:val="00E93361"/>
    <w:rsid w:val="00E939D5"/>
    <w:rsid w:val="00E95671"/>
    <w:rsid w:val="00EA1C7D"/>
    <w:rsid w:val="00EB039D"/>
    <w:rsid w:val="00EB2A00"/>
    <w:rsid w:val="00EB43FE"/>
    <w:rsid w:val="00EB66D7"/>
    <w:rsid w:val="00EB777F"/>
    <w:rsid w:val="00EB7AB7"/>
    <w:rsid w:val="00EC0E7C"/>
    <w:rsid w:val="00ED6070"/>
    <w:rsid w:val="00EE2667"/>
    <w:rsid w:val="00EE28F2"/>
    <w:rsid w:val="00EE72E2"/>
    <w:rsid w:val="00EF0829"/>
    <w:rsid w:val="00EF2E7B"/>
    <w:rsid w:val="00EF3C9C"/>
    <w:rsid w:val="00EF72AF"/>
    <w:rsid w:val="00EF78EF"/>
    <w:rsid w:val="00F11A12"/>
    <w:rsid w:val="00F23F7B"/>
    <w:rsid w:val="00F27B90"/>
    <w:rsid w:val="00F32F3F"/>
    <w:rsid w:val="00F33AF4"/>
    <w:rsid w:val="00F33B4A"/>
    <w:rsid w:val="00F36E9C"/>
    <w:rsid w:val="00F5098D"/>
    <w:rsid w:val="00F578AE"/>
    <w:rsid w:val="00F66A3A"/>
    <w:rsid w:val="00F7105B"/>
    <w:rsid w:val="00F7458E"/>
    <w:rsid w:val="00F760BC"/>
    <w:rsid w:val="00F81090"/>
    <w:rsid w:val="00F9088F"/>
    <w:rsid w:val="00F910C3"/>
    <w:rsid w:val="00F9204F"/>
    <w:rsid w:val="00F92B37"/>
    <w:rsid w:val="00FA27C9"/>
    <w:rsid w:val="00FA3303"/>
    <w:rsid w:val="00FB50A8"/>
    <w:rsid w:val="00FB7116"/>
    <w:rsid w:val="00FB7C75"/>
    <w:rsid w:val="00FC3B5D"/>
    <w:rsid w:val="00FC69BC"/>
    <w:rsid w:val="00FD2DED"/>
    <w:rsid w:val="00FD31CE"/>
    <w:rsid w:val="00FD49F5"/>
    <w:rsid w:val="00FD702B"/>
    <w:rsid w:val="00FE5860"/>
    <w:rsid w:val="00FE76B8"/>
    <w:rsid w:val="00FE7F85"/>
    <w:rsid w:val="00FF0774"/>
    <w:rsid w:val="00FF21CD"/>
    <w:rsid w:val="00FF2FA0"/>
    <w:rsid w:val="00FF4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54B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footnote reference" w:uiPriority="99"/>
    <w:lsdException w:name="end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7ED5"/>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rsid w:val="007D08F3"/>
    <w:pPr>
      <w:numPr>
        <w:ilvl w:val="1"/>
        <w:numId w:val="1"/>
      </w:numPr>
    </w:pPr>
  </w:style>
  <w:style w:type="paragraph" w:customStyle="1" w:styleId="DoubleDot">
    <w:name w:val="Double Dot"/>
    <w:basedOn w:val="Normal"/>
    <w:rsid w:val="007D08F3"/>
    <w:pPr>
      <w:numPr>
        <w:ilvl w:val="2"/>
        <w:numId w:val="1"/>
      </w:numPr>
    </w:pPr>
  </w:style>
  <w:style w:type="paragraph" w:customStyle="1" w:styleId="OutlineNumbered1">
    <w:name w:val="Outline Numbered 1"/>
    <w:basedOn w:val="Normal"/>
    <w:rsid w:val="00E07913"/>
  </w:style>
  <w:style w:type="paragraph" w:customStyle="1" w:styleId="OutlineNumbered2">
    <w:name w:val="Outline Numbered 2"/>
    <w:basedOn w:val="Normal"/>
    <w:rsid w:val="00E07913"/>
    <w:pPr>
      <w:numPr>
        <w:ilvl w:val="1"/>
        <w:numId w:val="2"/>
      </w:numPr>
    </w:pPr>
  </w:style>
  <w:style w:type="paragraph" w:customStyle="1" w:styleId="OutlineNumbered3">
    <w:name w:val="Outline Numbered 3"/>
    <w:basedOn w:val="Normal"/>
    <w:rsid w:val="00E07913"/>
    <w:pPr>
      <w:numPr>
        <w:ilvl w:val="2"/>
        <w:numId w:val="2"/>
      </w:numPr>
    </w:pPr>
  </w:style>
  <w:style w:type="paragraph" w:customStyle="1" w:styleId="AlphaParagraph">
    <w:name w:val="Alpha Paragraph"/>
    <w:basedOn w:val="Normal"/>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uiPriority w:val="99"/>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rsid w:val="005F15FE"/>
    <w:pPr>
      <w:spacing w:after="480"/>
      <w:jc w:val="right"/>
    </w:pPr>
    <w:rPr>
      <w:rFonts w:ascii="Arial Bold" w:hAnsi="Arial Bold"/>
      <w:b/>
      <w:sz w:val="72"/>
    </w:rPr>
  </w:style>
  <w:style w:type="paragraph" w:customStyle="1" w:styleId="CoverTitleSub">
    <w:name w:val="Cover Title Sub"/>
    <w:basedOn w:val="HeadingBase"/>
    <w:rsid w:val="005F15FE"/>
    <w:pPr>
      <w:spacing w:after="360"/>
      <w:jc w:val="right"/>
    </w:pPr>
    <w:rPr>
      <w:sz w:val="36"/>
    </w:rPr>
  </w:style>
  <w:style w:type="paragraph" w:customStyle="1" w:styleId="FooterCentered">
    <w:name w:val="Footer Centered"/>
    <w:basedOn w:val="Footer"/>
    <w:rsid w:val="007D08F3"/>
    <w:pPr>
      <w:jc w:val="center"/>
    </w:pPr>
  </w:style>
  <w:style w:type="paragraph" w:customStyle="1" w:styleId="FooterEven">
    <w:name w:val="Footer Even"/>
    <w:basedOn w:val="Footer"/>
    <w:rsid w:val="007D08F3"/>
  </w:style>
  <w:style w:type="paragraph" w:customStyle="1" w:styleId="FooterOdd">
    <w:name w:val="Footer Odd"/>
    <w:basedOn w:val="Footer"/>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rsid w:val="007D08F3"/>
    <w:rPr>
      <w:sz w:val="18"/>
    </w:rPr>
  </w:style>
  <w:style w:type="paragraph" w:customStyle="1" w:styleId="HeaderEven">
    <w:name w:val="Header Even"/>
    <w:basedOn w:val="Header"/>
    <w:rsid w:val="007D08F3"/>
  </w:style>
  <w:style w:type="paragraph" w:customStyle="1" w:styleId="HeaderOdd">
    <w:name w:val="Header Odd"/>
    <w:basedOn w:val="Header"/>
    <w:rsid w:val="007D08F3"/>
    <w:pPr>
      <w:jc w:val="right"/>
    </w:pPr>
  </w:style>
  <w:style w:type="paragraph" w:styleId="NormalIndent">
    <w:name w:val="Normal Indent"/>
    <w:basedOn w:val="Normal"/>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10"/>
      </w:numPr>
    </w:pPr>
  </w:style>
  <w:style w:type="paragraph" w:customStyle="1" w:styleId="BoxText">
    <w:name w:val="Box Text"/>
    <w:basedOn w:val="BoxTextBase"/>
    <w:rsid w:val="007D08F3"/>
  </w:style>
  <w:style w:type="paragraph" w:customStyle="1" w:styleId="BoxBullet">
    <w:name w:val="Box Bullet"/>
    <w:basedOn w:val="BoxTextBase"/>
    <w:rsid w:val="007D08F3"/>
    <w:pPr>
      <w:numPr>
        <w:numId w:val="9"/>
      </w:numPr>
    </w:pPr>
  </w:style>
  <w:style w:type="paragraph" w:customStyle="1" w:styleId="BoxDash">
    <w:name w:val="Box Dash"/>
    <w:basedOn w:val="Normal"/>
    <w:rsid w:val="007D08F3"/>
    <w:pPr>
      <w:numPr>
        <w:ilvl w:val="1"/>
        <w:numId w:val="9"/>
      </w:numPr>
    </w:pPr>
  </w:style>
  <w:style w:type="paragraph" w:customStyle="1" w:styleId="BoxDoubleDot">
    <w:name w:val="Box Double Dot"/>
    <w:basedOn w:val="BoxTextBase"/>
    <w:rsid w:val="007D08F3"/>
    <w:pPr>
      <w:numPr>
        <w:ilvl w:val="2"/>
        <w:numId w:val="9"/>
      </w:numPr>
    </w:pPr>
  </w:style>
  <w:style w:type="paragraph" w:customStyle="1" w:styleId="RecommendationBullet">
    <w:name w:val="Recommendation Bullet"/>
    <w:basedOn w:val="RecommendationTextBase"/>
    <w:rsid w:val="007D08F3"/>
    <w:pPr>
      <w:numPr>
        <w:numId w:val="11"/>
      </w:numPr>
    </w:pPr>
  </w:style>
  <w:style w:type="paragraph" w:customStyle="1" w:styleId="RecommendationDash">
    <w:name w:val="Recommendation Dash"/>
    <w:basedOn w:val="RecommendationTextBase"/>
    <w:rsid w:val="007D08F3"/>
    <w:pPr>
      <w:numPr>
        <w:ilvl w:val="1"/>
        <w:numId w:val="11"/>
      </w:numPr>
    </w:pPr>
  </w:style>
  <w:style w:type="paragraph" w:customStyle="1" w:styleId="RecommendationDoubleDot">
    <w:name w:val="Recommendation Double Dot"/>
    <w:basedOn w:val="RecommendationTextBase"/>
    <w:rsid w:val="007D08F3"/>
    <w:pPr>
      <w:numPr>
        <w:ilvl w:val="2"/>
        <w:numId w:val="11"/>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qFormat/>
    <w:rsid w:val="005E76C1"/>
    <w:rPr>
      <w:b/>
      <w:bCs/>
    </w:rPr>
  </w:style>
  <w:style w:type="character" w:styleId="CommentReference">
    <w:name w:val="annotation reference"/>
    <w:basedOn w:val="DefaultParagraphFont"/>
    <w:semiHidden/>
    <w:rsid w:val="005E76C1"/>
    <w:rPr>
      <w:sz w:val="16"/>
      <w:szCs w:val="16"/>
    </w:rPr>
  </w:style>
  <w:style w:type="paragraph" w:styleId="CommentText">
    <w:name w:val="annotation text"/>
    <w:basedOn w:val="Normal"/>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uiPriority w:val="99"/>
    <w:semiHidden/>
    <w:rsid w:val="005E76C1"/>
    <w:rPr>
      <w:vertAlign w:val="superscript"/>
    </w:rPr>
  </w:style>
  <w:style w:type="paragraph" w:styleId="EndnoteText">
    <w:name w:val="endnote text"/>
    <w:basedOn w:val="Normal"/>
    <w:semiHidden/>
    <w:rsid w:val="005E76C1"/>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semiHidden/>
    <w:rsid w:val="005E76C1"/>
    <w:pPr>
      <w:ind w:left="800"/>
    </w:pPr>
  </w:style>
  <w:style w:type="paragraph" w:styleId="TOC6">
    <w:name w:val="toc 6"/>
    <w:basedOn w:val="Normal"/>
    <w:next w:val="Normal"/>
    <w:autoRedefine/>
    <w:semiHidden/>
    <w:rsid w:val="005E76C1"/>
    <w:pPr>
      <w:ind w:left="1000"/>
    </w:pPr>
  </w:style>
  <w:style w:type="paragraph" w:styleId="TOC7">
    <w:name w:val="toc 7"/>
    <w:basedOn w:val="Normal"/>
    <w:next w:val="Normal"/>
    <w:autoRedefine/>
    <w:semiHidden/>
    <w:rsid w:val="005E76C1"/>
    <w:pPr>
      <w:ind w:left="1200"/>
    </w:pPr>
  </w:style>
  <w:style w:type="paragraph" w:styleId="TOC8">
    <w:name w:val="toc 8"/>
    <w:basedOn w:val="Normal"/>
    <w:next w:val="Normal"/>
    <w:autoRedefine/>
    <w:semiHidden/>
    <w:rsid w:val="005E76C1"/>
    <w:pPr>
      <w:ind w:left="1400"/>
    </w:pPr>
  </w:style>
  <w:style w:type="paragraph" w:styleId="TOC9">
    <w:name w:val="toc 9"/>
    <w:basedOn w:val="Normal"/>
    <w:next w:val="Normal"/>
    <w:autoRedefine/>
    <w:semiHidden/>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22"/>
      </w:numPr>
    </w:pPr>
  </w:style>
  <w:style w:type="paragraph" w:customStyle="1" w:styleId="OutlineNumbered4">
    <w:name w:val="Outline Numbered 4"/>
    <w:basedOn w:val="Normal"/>
    <w:rsid w:val="00E07913"/>
    <w:pPr>
      <w:numPr>
        <w:ilvl w:val="3"/>
        <w:numId w:val="2"/>
      </w:numPr>
    </w:pPr>
  </w:style>
  <w:style w:type="paragraph" w:customStyle="1" w:styleId="OutlineNumbered5">
    <w:name w:val="Outline Numbered 5"/>
    <w:basedOn w:val="Normal"/>
    <w:rsid w:val="00E07913"/>
    <w:pPr>
      <w:numPr>
        <w:ilvl w:val="4"/>
        <w:numId w:val="2"/>
      </w:numPr>
    </w:pPr>
  </w:style>
  <w:style w:type="paragraph" w:customStyle="1" w:styleId="Heading1NoTOC">
    <w:name w:val="Heading 1 No TOC"/>
    <w:basedOn w:val="Heading1"/>
    <w:next w:val="Normal"/>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Heading1Char">
    <w:name w:val="Heading 1 Char"/>
    <w:basedOn w:val="DefaultParagraphFont"/>
    <w:link w:val="Heading1"/>
    <w:uiPriority w:val="99"/>
    <w:locked/>
    <w:rsid w:val="00C80E4D"/>
    <w:rPr>
      <w:rFonts w:ascii="Arial" w:hAnsi="Arial" w:cs="Arial"/>
      <w:b/>
      <w:bCs/>
      <w:smallCaps/>
      <w:color w:val="00673A"/>
      <w:kern w:val="32"/>
      <w:sz w:val="36"/>
      <w:szCs w:val="36"/>
    </w:rPr>
  </w:style>
  <w:style w:type="character" w:customStyle="1" w:styleId="BulletChar">
    <w:name w:val="Bullet Char"/>
    <w:basedOn w:val="DefaultParagraphFont"/>
    <w:link w:val="Bullet"/>
    <w:locked/>
    <w:rsid w:val="00C80E4D"/>
    <w:rPr>
      <w:rFonts w:ascii="Book Antiqua" w:hAnsi="Book Antiqua"/>
      <w:color w:val="000000"/>
      <w:sz w:val="22"/>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A67451"/>
    <w:rPr>
      <w:rFonts w:ascii="Book Antiqua" w:hAnsi="Book Antiqua"/>
      <w:color w:val="000000"/>
      <w:sz w:val="18"/>
    </w:rPr>
  </w:style>
  <w:style w:type="paragraph" w:styleId="Quote">
    <w:name w:val="Quote"/>
    <w:basedOn w:val="Normal"/>
    <w:next w:val="Normal"/>
    <w:link w:val="QuoteChar"/>
    <w:uiPriority w:val="99"/>
    <w:qFormat/>
    <w:rsid w:val="00A67451"/>
    <w:pPr>
      <w:ind w:left="567"/>
    </w:pPr>
    <w:rPr>
      <w:i/>
      <w:iCs/>
    </w:rPr>
  </w:style>
  <w:style w:type="character" w:customStyle="1" w:styleId="QuoteChar">
    <w:name w:val="Quote Char"/>
    <w:basedOn w:val="DefaultParagraphFont"/>
    <w:link w:val="Quote"/>
    <w:uiPriority w:val="99"/>
    <w:rsid w:val="00A67451"/>
    <w:rPr>
      <w:rFonts w:ascii="Book Antiqua" w:hAnsi="Book Antiqua"/>
      <w:i/>
      <w:iCs/>
      <w:color w:val="000000"/>
      <w:sz w:val="22"/>
    </w:rPr>
  </w:style>
  <w:style w:type="character" w:customStyle="1" w:styleId="Heading2Char">
    <w:name w:val="Heading 2 Char"/>
    <w:basedOn w:val="DefaultParagraphFont"/>
    <w:link w:val="Heading2"/>
    <w:uiPriority w:val="99"/>
    <w:locked/>
    <w:rsid w:val="00A67451"/>
    <w:rPr>
      <w:rFonts w:ascii="Arial" w:hAnsi="Arial" w:cs="Arial"/>
      <w:b/>
      <w:bCs/>
      <w:iCs/>
      <w:smallCaps/>
      <w:color w:val="00673A"/>
      <w:sz w:val="28"/>
      <w:szCs w:val="28"/>
    </w:rPr>
  </w:style>
  <w:style w:type="character" w:customStyle="1" w:styleId="Heading3Char">
    <w:name w:val="Heading 3 Char"/>
    <w:basedOn w:val="DefaultParagraphFont"/>
    <w:link w:val="Heading3"/>
    <w:uiPriority w:val="99"/>
    <w:locked/>
    <w:rsid w:val="00A67451"/>
    <w:rPr>
      <w:rFonts w:ascii="Arial" w:hAnsi="Arial" w:cs="Arial"/>
      <w:b/>
      <w:bCs/>
      <w:color w:val="00673A"/>
      <w:sz w:val="26"/>
      <w:szCs w:val="26"/>
    </w:rPr>
  </w:style>
  <w:style w:type="character" w:styleId="Strong">
    <w:name w:val="Strong"/>
    <w:basedOn w:val="DefaultParagraphFont"/>
    <w:qFormat/>
    <w:rsid w:val="00A772DF"/>
    <w:rPr>
      <w:b/>
      <w:bCs/>
    </w:rPr>
  </w:style>
  <w:style w:type="paragraph" w:styleId="BodyText">
    <w:name w:val="Body Text"/>
    <w:basedOn w:val="Normal"/>
    <w:link w:val="BodyTextChar"/>
    <w:unhideWhenUsed/>
    <w:rsid w:val="00A772DF"/>
    <w:pPr>
      <w:spacing w:after="120" w:line="240" w:lineRule="auto"/>
    </w:pPr>
    <w:rPr>
      <w:rFonts w:ascii="Times New Roman" w:eastAsia="MS Mincho" w:hAnsi="Times New Roman"/>
      <w:color w:val="auto"/>
      <w:sz w:val="24"/>
      <w:szCs w:val="24"/>
      <w:lang w:eastAsia="ja-JP"/>
    </w:rPr>
  </w:style>
  <w:style w:type="character" w:customStyle="1" w:styleId="BodyTextChar">
    <w:name w:val="Body Text Char"/>
    <w:basedOn w:val="DefaultParagraphFont"/>
    <w:link w:val="BodyText"/>
    <w:rsid w:val="00A772DF"/>
    <w:rPr>
      <w:rFonts w:eastAsia="MS Mincho"/>
      <w:sz w:val="24"/>
      <w:szCs w:val="24"/>
      <w:lang w:eastAsia="ja-JP"/>
    </w:rPr>
  </w:style>
  <w:style w:type="paragraph" w:customStyle="1" w:styleId="Default">
    <w:name w:val="Default"/>
    <w:rsid w:val="00322A06"/>
    <w:pPr>
      <w:autoSpaceDE w:val="0"/>
      <w:autoSpaceDN w:val="0"/>
      <w:adjustRightInd w:val="0"/>
    </w:pPr>
    <w:rPr>
      <w:rFonts w:ascii="Calibri" w:hAnsi="Calibri" w:cs="Calibri"/>
      <w:color w:val="000000"/>
      <w:sz w:val="24"/>
      <w:szCs w:val="24"/>
    </w:rPr>
  </w:style>
  <w:style w:type="table" w:styleId="LightShading-Accent3">
    <w:name w:val="Light Shading Accent 3"/>
    <w:basedOn w:val="TableNormal"/>
    <w:uiPriority w:val="60"/>
    <w:rsid w:val="00EB7AB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TMLTypewriter">
    <w:name w:val="HTML Typewriter"/>
    <w:basedOn w:val="DefaultParagraphFont"/>
    <w:rsid w:val="00E12396"/>
    <w:rPr>
      <w:rFonts w:ascii="Courier New" w:eastAsia="Times New Roman" w:hAnsi="Courier New" w:cs="Courier New"/>
      <w:sz w:val="20"/>
      <w:szCs w:val="20"/>
    </w:rPr>
  </w:style>
  <w:style w:type="paragraph" w:styleId="ListParagraph">
    <w:name w:val="List Paragraph"/>
    <w:basedOn w:val="Normal"/>
    <w:uiPriority w:val="34"/>
    <w:qFormat/>
    <w:rsid w:val="00CB30B1"/>
    <w:pPr>
      <w:spacing w:line="260" w:lineRule="exact"/>
      <w:ind w:left="720"/>
      <w:contextualSpacing/>
    </w:pPr>
    <w:rPr>
      <w:rFonts w:ascii="Calibri" w:hAnsi="Calibri"/>
    </w:rPr>
  </w:style>
  <w:style w:type="paragraph" w:styleId="NormalWeb">
    <w:name w:val="Normal (Web)"/>
    <w:basedOn w:val="Normal"/>
    <w:uiPriority w:val="99"/>
    <w:unhideWhenUsed/>
    <w:rsid w:val="003C34C1"/>
    <w:pPr>
      <w:spacing w:before="100" w:beforeAutospacing="1" w:after="100" w:afterAutospacing="1" w:line="240" w:lineRule="auto"/>
    </w:pPr>
    <w:rPr>
      <w:rFonts w:ascii="Times New Roman" w:hAnsi="Times New Roman"/>
      <w:color w:val="auto"/>
      <w:sz w:val="24"/>
      <w:szCs w:val="24"/>
    </w:rPr>
  </w:style>
  <w:style w:type="numbering" w:customStyle="1" w:styleId="RecommendationList">
    <w:name w:val="Recommendation List"/>
    <w:rsid w:val="00EB039D"/>
    <w:pPr>
      <w:numPr>
        <w:numId w:val="48"/>
      </w:numPr>
    </w:pPr>
  </w:style>
  <w:style w:type="paragraph" w:styleId="TOCHeading">
    <w:name w:val="TOC Heading"/>
    <w:basedOn w:val="Heading1"/>
    <w:next w:val="Normal"/>
    <w:uiPriority w:val="39"/>
    <w:semiHidden/>
    <w:unhideWhenUsed/>
    <w:qFormat/>
    <w:rsid w:val="00041103"/>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character" w:styleId="Emphasis">
    <w:name w:val="Emphasis"/>
    <w:basedOn w:val="DefaultParagraphFont"/>
    <w:uiPriority w:val="20"/>
    <w:qFormat/>
    <w:rsid w:val="001D16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footnote reference" w:uiPriority="99"/>
    <w:lsdException w:name="end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7ED5"/>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rsid w:val="007D08F3"/>
    <w:pPr>
      <w:numPr>
        <w:ilvl w:val="1"/>
        <w:numId w:val="1"/>
      </w:numPr>
    </w:pPr>
  </w:style>
  <w:style w:type="paragraph" w:customStyle="1" w:styleId="DoubleDot">
    <w:name w:val="Double Dot"/>
    <w:basedOn w:val="Normal"/>
    <w:rsid w:val="007D08F3"/>
    <w:pPr>
      <w:numPr>
        <w:ilvl w:val="2"/>
        <w:numId w:val="1"/>
      </w:numPr>
    </w:pPr>
  </w:style>
  <w:style w:type="paragraph" w:customStyle="1" w:styleId="OutlineNumbered1">
    <w:name w:val="Outline Numbered 1"/>
    <w:basedOn w:val="Normal"/>
    <w:rsid w:val="00E07913"/>
  </w:style>
  <w:style w:type="paragraph" w:customStyle="1" w:styleId="OutlineNumbered2">
    <w:name w:val="Outline Numbered 2"/>
    <w:basedOn w:val="Normal"/>
    <w:rsid w:val="00E07913"/>
    <w:pPr>
      <w:numPr>
        <w:ilvl w:val="1"/>
        <w:numId w:val="2"/>
      </w:numPr>
    </w:pPr>
  </w:style>
  <w:style w:type="paragraph" w:customStyle="1" w:styleId="OutlineNumbered3">
    <w:name w:val="Outline Numbered 3"/>
    <w:basedOn w:val="Normal"/>
    <w:rsid w:val="00E07913"/>
    <w:pPr>
      <w:numPr>
        <w:ilvl w:val="2"/>
        <w:numId w:val="2"/>
      </w:numPr>
    </w:pPr>
  </w:style>
  <w:style w:type="paragraph" w:customStyle="1" w:styleId="AlphaParagraph">
    <w:name w:val="Alpha Paragraph"/>
    <w:basedOn w:val="Normal"/>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uiPriority w:val="99"/>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rsid w:val="005F15FE"/>
    <w:pPr>
      <w:spacing w:after="480"/>
      <w:jc w:val="right"/>
    </w:pPr>
    <w:rPr>
      <w:rFonts w:ascii="Arial Bold" w:hAnsi="Arial Bold"/>
      <w:b/>
      <w:sz w:val="72"/>
    </w:rPr>
  </w:style>
  <w:style w:type="paragraph" w:customStyle="1" w:styleId="CoverTitleSub">
    <w:name w:val="Cover Title Sub"/>
    <w:basedOn w:val="HeadingBase"/>
    <w:rsid w:val="005F15FE"/>
    <w:pPr>
      <w:spacing w:after="360"/>
      <w:jc w:val="right"/>
    </w:pPr>
    <w:rPr>
      <w:sz w:val="36"/>
    </w:rPr>
  </w:style>
  <w:style w:type="paragraph" w:customStyle="1" w:styleId="FooterCentered">
    <w:name w:val="Footer Centered"/>
    <w:basedOn w:val="Footer"/>
    <w:rsid w:val="007D08F3"/>
    <w:pPr>
      <w:jc w:val="center"/>
    </w:pPr>
  </w:style>
  <w:style w:type="paragraph" w:customStyle="1" w:styleId="FooterEven">
    <w:name w:val="Footer Even"/>
    <w:basedOn w:val="Footer"/>
    <w:rsid w:val="007D08F3"/>
  </w:style>
  <w:style w:type="paragraph" w:customStyle="1" w:styleId="FooterOdd">
    <w:name w:val="Footer Odd"/>
    <w:basedOn w:val="Footer"/>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rsid w:val="007D08F3"/>
    <w:rPr>
      <w:sz w:val="18"/>
    </w:rPr>
  </w:style>
  <w:style w:type="paragraph" w:customStyle="1" w:styleId="HeaderEven">
    <w:name w:val="Header Even"/>
    <w:basedOn w:val="Header"/>
    <w:rsid w:val="007D08F3"/>
  </w:style>
  <w:style w:type="paragraph" w:customStyle="1" w:styleId="HeaderOdd">
    <w:name w:val="Header Odd"/>
    <w:basedOn w:val="Header"/>
    <w:rsid w:val="007D08F3"/>
    <w:pPr>
      <w:jc w:val="right"/>
    </w:pPr>
  </w:style>
  <w:style w:type="paragraph" w:styleId="NormalIndent">
    <w:name w:val="Normal Indent"/>
    <w:basedOn w:val="Normal"/>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10"/>
      </w:numPr>
    </w:pPr>
  </w:style>
  <w:style w:type="paragraph" w:customStyle="1" w:styleId="BoxText">
    <w:name w:val="Box Text"/>
    <w:basedOn w:val="BoxTextBase"/>
    <w:rsid w:val="007D08F3"/>
  </w:style>
  <w:style w:type="paragraph" w:customStyle="1" w:styleId="BoxBullet">
    <w:name w:val="Box Bullet"/>
    <w:basedOn w:val="BoxTextBase"/>
    <w:rsid w:val="007D08F3"/>
    <w:pPr>
      <w:numPr>
        <w:numId w:val="9"/>
      </w:numPr>
    </w:pPr>
  </w:style>
  <w:style w:type="paragraph" w:customStyle="1" w:styleId="BoxDash">
    <w:name w:val="Box Dash"/>
    <w:basedOn w:val="Normal"/>
    <w:rsid w:val="007D08F3"/>
    <w:pPr>
      <w:numPr>
        <w:ilvl w:val="1"/>
        <w:numId w:val="9"/>
      </w:numPr>
    </w:pPr>
  </w:style>
  <w:style w:type="paragraph" w:customStyle="1" w:styleId="BoxDoubleDot">
    <w:name w:val="Box Double Dot"/>
    <w:basedOn w:val="BoxTextBase"/>
    <w:rsid w:val="007D08F3"/>
    <w:pPr>
      <w:numPr>
        <w:ilvl w:val="2"/>
        <w:numId w:val="9"/>
      </w:numPr>
    </w:pPr>
  </w:style>
  <w:style w:type="paragraph" w:customStyle="1" w:styleId="RecommendationBullet">
    <w:name w:val="Recommendation Bullet"/>
    <w:basedOn w:val="RecommendationTextBase"/>
    <w:rsid w:val="007D08F3"/>
    <w:pPr>
      <w:numPr>
        <w:numId w:val="11"/>
      </w:numPr>
    </w:pPr>
  </w:style>
  <w:style w:type="paragraph" w:customStyle="1" w:styleId="RecommendationDash">
    <w:name w:val="Recommendation Dash"/>
    <w:basedOn w:val="RecommendationTextBase"/>
    <w:rsid w:val="007D08F3"/>
    <w:pPr>
      <w:numPr>
        <w:ilvl w:val="1"/>
        <w:numId w:val="11"/>
      </w:numPr>
    </w:pPr>
  </w:style>
  <w:style w:type="paragraph" w:customStyle="1" w:styleId="RecommendationDoubleDot">
    <w:name w:val="Recommendation Double Dot"/>
    <w:basedOn w:val="RecommendationTextBase"/>
    <w:rsid w:val="007D08F3"/>
    <w:pPr>
      <w:numPr>
        <w:ilvl w:val="2"/>
        <w:numId w:val="11"/>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qFormat/>
    <w:rsid w:val="005E76C1"/>
    <w:rPr>
      <w:b/>
      <w:bCs/>
    </w:rPr>
  </w:style>
  <w:style w:type="character" w:styleId="CommentReference">
    <w:name w:val="annotation reference"/>
    <w:basedOn w:val="DefaultParagraphFont"/>
    <w:semiHidden/>
    <w:rsid w:val="005E76C1"/>
    <w:rPr>
      <w:sz w:val="16"/>
      <w:szCs w:val="16"/>
    </w:rPr>
  </w:style>
  <w:style w:type="paragraph" w:styleId="CommentText">
    <w:name w:val="annotation text"/>
    <w:basedOn w:val="Normal"/>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uiPriority w:val="99"/>
    <w:semiHidden/>
    <w:rsid w:val="005E76C1"/>
    <w:rPr>
      <w:vertAlign w:val="superscript"/>
    </w:rPr>
  </w:style>
  <w:style w:type="paragraph" w:styleId="EndnoteText">
    <w:name w:val="endnote text"/>
    <w:basedOn w:val="Normal"/>
    <w:semiHidden/>
    <w:rsid w:val="005E76C1"/>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semiHidden/>
    <w:rsid w:val="005E76C1"/>
    <w:pPr>
      <w:ind w:left="800"/>
    </w:pPr>
  </w:style>
  <w:style w:type="paragraph" w:styleId="TOC6">
    <w:name w:val="toc 6"/>
    <w:basedOn w:val="Normal"/>
    <w:next w:val="Normal"/>
    <w:autoRedefine/>
    <w:semiHidden/>
    <w:rsid w:val="005E76C1"/>
    <w:pPr>
      <w:ind w:left="1000"/>
    </w:pPr>
  </w:style>
  <w:style w:type="paragraph" w:styleId="TOC7">
    <w:name w:val="toc 7"/>
    <w:basedOn w:val="Normal"/>
    <w:next w:val="Normal"/>
    <w:autoRedefine/>
    <w:semiHidden/>
    <w:rsid w:val="005E76C1"/>
    <w:pPr>
      <w:ind w:left="1200"/>
    </w:pPr>
  </w:style>
  <w:style w:type="paragraph" w:styleId="TOC8">
    <w:name w:val="toc 8"/>
    <w:basedOn w:val="Normal"/>
    <w:next w:val="Normal"/>
    <w:autoRedefine/>
    <w:semiHidden/>
    <w:rsid w:val="005E76C1"/>
    <w:pPr>
      <w:ind w:left="1400"/>
    </w:pPr>
  </w:style>
  <w:style w:type="paragraph" w:styleId="TOC9">
    <w:name w:val="toc 9"/>
    <w:basedOn w:val="Normal"/>
    <w:next w:val="Normal"/>
    <w:autoRedefine/>
    <w:semiHidden/>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22"/>
      </w:numPr>
    </w:pPr>
  </w:style>
  <w:style w:type="paragraph" w:customStyle="1" w:styleId="OutlineNumbered4">
    <w:name w:val="Outline Numbered 4"/>
    <w:basedOn w:val="Normal"/>
    <w:rsid w:val="00E07913"/>
    <w:pPr>
      <w:numPr>
        <w:ilvl w:val="3"/>
        <w:numId w:val="2"/>
      </w:numPr>
    </w:pPr>
  </w:style>
  <w:style w:type="paragraph" w:customStyle="1" w:styleId="OutlineNumbered5">
    <w:name w:val="Outline Numbered 5"/>
    <w:basedOn w:val="Normal"/>
    <w:rsid w:val="00E07913"/>
    <w:pPr>
      <w:numPr>
        <w:ilvl w:val="4"/>
        <w:numId w:val="2"/>
      </w:numPr>
    </w:pPr>
  </w:style>
  <w:style w:type="paragraph" w:customStyle="1" w:styleId="Heading1NoTOC">
    <w:name w:val="Heading 1 No TOC"/>
    <w:basedOn w:val="Heading1"/>
    <w:next w:val="Normal"/>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Heading1Char">
    <w:name w:val="Heading 1 Char"/>
    <w:basedOn w:val="DefaultParagraphFont"/>
    <w:link w:val="Heading1"/>
    <w:uiPriority w:val="99"/>
    <w:locked/>
    <w:rsid w:val="00C80E4D"/>
    <w:rPr>
      <w:rFonts w:ascii="Arial" w:hAnsi="Arial" w:cs="Arial"/>
      <w:b/>
      <w:bCs/>
      <w:smallCaps/>
      <w:color w:val="00673A"/>
      <w:kern w:val="32"/>
      <w:sz w:val="36"/>
      <w:szCs w:val="36"/>
    </w:rPr>
  </w:style>
  <w:style w:type="character" w:customStyle="1" w:styleId="BulletChar">
    <w:name w:val="Bullet Char"/>
    <w:basedOn w:val="DefaultParagraphFont"/>
    <w:link w:val="Bullet"/>
    <w:locked/>
    <w:rsid w:val="00C80E4D"/>
    <w:rPr>
      <w:rFonts w:ascii="Book Antiqua" w:hAnsi="Book Antiqua"/>
      <w:color w:val="000000"/>
      <w:sz w:val="22"/>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A67451"/>
    <w:rPr>
      <w:rFonts w:ascii="Book Antiqua" w:hAnsi="Book Antiqua"/>
      <w:color w:val="000000"/>
      <w:sz w:val="18"/>
    </w:rPr>
  </w:style>
  <w:style w:type="paragraph" w:styleId="Quote">
    <w:name w:val="Quote"/>
    <w:basedOn w:val="Normal"/>
    <w:next w:val="Normal"/>
    <w:link w:val="QuoteChar"/>
    <w:uiPriority w:val="99"/>
    <w:qFormat/>
    <w:rsid w:val="00A67451"/>
    <w:pPr>
      <w:ind w:left="567"/>
    </w:pPr>
    <w:rPr>
      <w:i/>
      <w:iCs/>
    </w:rPr>
  </w:style>
  <w:style w:type="character" w:customStyle="1" w:styleId="QuoteChar">
    <w:name w:val="Quote Char"/>
    <w:basedOn w:val="DefaultParagraphFont"/>
    <w:link w:val="Quote"/>
    <w:uiPriority w:val="99"/>
    <w:rsid w:val="00A67451"/>
    <w:rPr>
      <w:rFonts w:ascii="Book Antiqua" w:hAnsi="Book Antiqua"/>
      <w:i/>
      <w:iCs/>
      <w:color w:val="000000"/>
      <w:sz w:val="22"/>
    </w:rPr>
  </w:style>
  <w:style w:type="character" w:customStyle="1" w:styleId="Heading2Char">
    <w:name w:val="Heading 2 Char"/>
    <w:basedOn w:val="DefaultParagraphFont"/>
    <w:link w:val="Heading2"/>
    <w:uiPriority w:val="99"/>
    <w:locked/>
    <w:rsid w:val="00A67451"/>
    <w:rPr>
      <w:rFonts w:ascii="Arial" w:hAnsi="Arial" w:cs="Arial"/>
      <w:b/>
      <w:bCs/>
      <w:iCs/>
      <w:smallCaps/>
      <w:color w:val="00673A"/>
      <w:sz w:val="28"/>
      <w:szCs w:val="28"/>
    </w:rPr>
  </w:style>
  <w:style w:type="character" w:customStyle="1" w:styleId="Heading3Char">
    <w:name w:val="Heading 3 Char"/>
    <w:basedOn w:val="DefaultParagraphFont"/>
    <w:link w:val="Heading3"/>
    <w:uiPriority w:val="99"/>
    <w:locked/>
    <w:rsid w:val="00A67451"/>
    <w:rPr>
      <w:rFonts w:ascii="Arial" w:hAnsi="Arial" w:cs="Arial"/>
      <w:b/>
      <w:bCs/>
      <w:color w:val="00673A"/>
      <w:sz w:val="26"/>
      <w:szCs w:val="26"/>
    </w:rPr>
  </w:style>
  <w:style w:type="character" w:styleId="Strong">
    <w:name w:val="Strong"/>
    <w:basedOn w:val="DefaultParagraphFont"/>
    <w:qFormat/>
    <w:rsid w:val="00A772DF"/>
    <w:rPr>
      <w:b/>
      <w:bCs/>
    </w:rPr>
  </w:style>
  <w:style w:type="paragraph" w:styleId="BodyText">
    <w:name w:val="Body Text"/>
    <w:basedOn w:val="Normal"/>
    <w:link w:val="BodyTextChar"/>
    <w:unhideWhenUsed/>
    <w:rsid w:val="00A772DF"/>
    <w:pPr>
      <w:spacing w:after="120" w:line="240" w:lineRule="auto"/>
    </w:pPr>
    <w:rPr>
      <w:rFonts w:ascii="Times New Roman" w:eastAsia="MS Mincho" w:hAnsi="Times New Roman"/>
      <w:color w:val="auto"/>
      <w:sz w:val="24"/>
      <w:szCs w:val="24"/>
      <w:lang w:eastAsia="ja-JP"/>
    </w:rPr>
  </w:style>
  <w:style w:type="character" w:customStyle="1" w:styleId="BodyTextChar">
    <w:name w:val="Body Text Char"/>
    <w:basedOn w:val="DefaultParagraphFont"/>
    <w:link w:val="BodyText"/>
    <w:rsid w:val="00A772DF"/>
    <w:rPr>
      <w:rFonts w:eastAsia="MS Mincho"/>
      <w:sz w:val="24"/>
      <w:szCs w:val="24"/>
      <w:lang w:eastAsia="ja-JP"/>
    </w:rPr>
  </w:style>
  <w:style w:type="paragraph" w:customStyle="1" w:styleId="Default">
    <w:name w:val="Default"/>
    <w:rsid w:val="00322A06"/>
    <w:pPr>
      <w:autoSpaceDE w:val="0"/>
      <w:autoSpaceDN w:val="0"/>
      <w:adjustRightInd w:val="0"/>
    </w:pPr>
    <w:rPr>
      <w:rFonts w:ascii="Calibri" w:hAnsi="Calibri" w:cs="Calibri"/>
      <w:color w:val="000000"/>
      <w:sz w:val="24"/>
      <w:szCs w:val="24"/>
    </w:rPr>
  </w:style>
  <w:style w:type="table" w:styleId="LightShading-Accent3">
    <w:name w:val="Light Shading Accent 3"/>
    <w:basedOn w:val="TableNormal"/>
    <w:uiPriority w:val="60"/>
    <w:rsid w:val="00EB7AB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TMLTypewriter">
    <w:name w:val="HTML Typewriter"/>
    <w:basedOn w:val="DefaultParagraphFont"/>
    <w:rsid w:val="00E12396"/>
    <w:rPr>
      <w:rFonts w:ascii="Courier New" w:eastAsia="Times New Roman" w:hAnsi="Courier New" w:cs="Courier New"/>
      <w:sz w:val="20"/>
      <w:szCs w:val="20"/>
    </w:rPr>
  </w:style>
  <w:style w:type="paragraph" w:styleId="ListParagraph">
    <w:name w:val="List Paragraph"/>
    <w:basedOn w:val="Normal"/>
    <w:uiPriority w:val="34"/>
    <w:qFormat/>
    <w:rsid w:val="00CB30B1"/>
    <w:pPr>
      <w:spacing w:line="260" w:lineRule="exact"/>
      <w:ind w:left="720"/>
      <w:contextualSpacing/>
    </w:pPr>
    <w:rPr>
      <w:rFonts w:ascii="Calibri" w:hAnsi="Calibri"/>
    </w:rPr>
  </w:style>
  <w:style w:type="paragraph" w:styleId="NormalWeb">
    <w:name w:val="Normal (Web)"/>
    <w:basedOn w:val="Normal"/>
    <w:uiPriority w:val="99"/>
    <w:unhideWhenUsed/>
    <w:rsid w:val="003C34C1"/>
    <w:pPr>
      <w:spacing w:before="100" w:beforeAutospacing="1" w:after="100" w:afterAutospacing="1" w:line="240" w:lineRule="auto"/>
    </w:pPr>
    <w:rPr>
      <w:rFonts w:ascii="Times New Roman" w:hAnsi="Times New Roman"/>
      <w:color w:val="auto"/>
      <w:sz w:val="24"/>
      <w:szCs w:val="24"/>
    </w:rPr>
  </w:style>
  <w:style w:type="numbering" w:customStyle="1" w:styleId="RecommendationList">
    <w:name w:val="Recommendation List"/>
    <w:rsid w:val="00EB039D"/>
    <w:pPr>
      <w:numPr>
        <w:numId w:val="48"/>
      </w:numPr>
    </w:pPr>
  </w:style>
  <w:style w:type="paragraph" w:styleId="TOCHeading">
    <w:name w:val="TOC Heading"/>
    <w:basedOn w:val="Heading1"/>
    <w:next w:val="Normal"/>
    <w:uiPriority w:val="39"/>
    <w:semiHidden/>
    <w:unhideWhenUsed/>
    <w:qFormat/>
    <w:rsid w:val="00041103"/>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character" w:styleId="Emphasis">
    <w:name w:val="Emphasis"/>
    <w:basedOn w:val="DefaultParagraphFont"/>
    <w:uiPriority w:val="20"/>
    <w:qFormat/>
    <w:rsid w:val="001D16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505463">
      <w:bodyDiv w:val="1"/>
      <w:marLeft w:val="0"/>
      <w:marRight w:val="0"/>
      <w:marTop w:val="0"/>
      <w:marBottom w:val="0"/>
      <w:divBdr>
        <w:top w:val="none" w:sz="0" w:space="0" w:color="auto"/>
        <w:left w:val="none" w:sz="0" w:space="0" w:color="auto"/>
        <w:bottom w:val="none" w:sz="0" w:space="0" w:color="auto"/>
        <w:right w:val="none" w:sz="0" w:space="0" w:color="auto"/>
      </w:divBdr>
    </w:div>
    <w:div w:id="312684819">
      <w:bodyDiv w:val="1"/>
      <w:marLeft w:val="0"/>
      <w:marRight w:val="0"/>
      <w:marTop w:val="0"/>
      <w:marBottom w:val="0"/>
      <w:divBdr>
        <w:top w:val="none" w:sz="0" w:space="0" w:color="auto"/>
        <w:left w:val="none" w:sz="0" w:space="0" w:color="auto"/>
        <w:bottom w:val="none" w:sz="0" w:space="0" w:color="auto"/>
        <w:right w:val="none" w:sz="0" w:space="0" w:color="auto"/>
      </w:divBdr>
      <w:divsChild>
        <w:div w:id="2069841678">
          <w:marLeft w:val="0"/>
          <w:marRight w:val="0"/>
          <w:marTop w:val="0"/>
          <w:marBottom w:val="0"/>
          <w:divBdr>
            <w:top w:val="none" w:sz="0" w:space="0" w:color="auto"/>
            <w:left w:val="none" w:sz="0" w:space="0" w:color="auto"/>
            <w:bottom w:val="none" w:sz="0" w:space="0" w:color="auto"/>
            <w:right w:val="none" w:sz="0" w:space="0" w:color="auto"/>
          </w:divBdr>
          <w:divsChild>
            <w:div w:id="964627130">
              <w:marLeft w:val="0"/>
              <w:marRight w:val="0"/>
              <w:marTop w:val="0"/>
              <w:marBottom w:val="0"/>
              <w:divBdr>
                <w:top w:val="none" w:sz="0" w:space="0" w:color="auto"/>
                <w:left w:val="none" w:sz="0" w:space="0" w:color="auto"/>
                <w:bottom w:val="none" w:sz="0" w:space="0" w:color="auto"/>
                <w:right w:val="none" w:sz="0" w:space="0" w:color="auto"/>
              </w:divBdr>
              <w:divsChild>
                <w:div w:id="1542474455">
                  <w:marLeft w:val="2970"/>
                  <w:marRight w:val="0"/>
                  <w:marTop w:val="0"/>
                  <w:marBottom w:val="0"/>
                  <w:divBdr>
                    <w:top w:val="none" w:sz="0" w:space="0" w:color="auto"/>
                    <w:left w:val="none" w:sz="0" w:space="0" w:color="auto"/>
                    <w:bottom w:val="none" w:sz="0" w:space="0" w:color="auto"/>
                    <w:right w:val="none" w:sz="0" w:space="0" w:color="auto"/>
                  </w:divBdr>
                  <w:divsChild>
                    <w:div w:id="1086918456">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19046">
      <w:bodyDiv w:val="1"/>
      <w:marLeft w:val="0"/>
      <w:marRight w:val="0"/>
      <w:marTop w:val="0"/>
      <w:marBottom w:val="0"/>
      <w:divBdr>
        <w:top w:val="none" w:sz="0" w:space="0" w:color="auto"/>
        <w:left w:val="none" w:sz="0" w:space="0" w:color="auto"/>
        <w:bottom w:val="none" w:sz="0" w:space="0" w:color="auto"/>
        <w:right w:val="none" w:sz="0" w:space="0" w:color="auto"/>
      </w:divBdr>
      <w:divsChild>
        <w:div w:id="391269128">
          <w:marLeft w:val="0"/>
          <w:marRight w:val="0"/>
          <w:marTop w:val="0"/>
          <w:marBottom w:val="0"/>
          <w:divBdr>
            <w:top w:val="none" w:sz="0" w:space="0" w:color="auto"/>
            <w:left w:val="none" w:sz="0" w:space="0" w:color="auto"/>
            <w:bottom w:val="none" w:sz="0" w:space="0" w:color="auto"/>
            <w:right w:val="none" w:sz="0" w:space="0" w:color="auto"/>
          </w:divBdr>
          <w:divsChild>
            <w:div w:id="2054843634">
              <w:marLeft w:val="0"/>
              <w:marRight w:val="0"/>
              <w:marTop w:val="0"/>
              <w:marBottom w:val="0"/>
              <w:divBdr>
                <w:top w:val="none" w:sz="0" w:space="0" w:color="auto"/>
                <w:left w:val="none" w:sz="0" w:space="0" w:color="auto"/>
                <w:bottom w:val="none" w:sz="0" w:space="0" w:color="auto"/>
                <w:right w:val="none" w:sz="0" w:space="0" w:color="auto"/>
              </w:divBdr>
              <w:divsChild>
                <w:div w:id="589776480">
                  <w:marLeft w:val="0"/>
                  <w:marRight w:val="0"/>
                  <w:marTop w:val="0"/>
                  <w:marBottom w:val="0"/>
                  <w:divBdr>
                    <w:top w:val="single" w:sz="6" w:space="22" w:color="D7D7D7"/>
                    <w:left w:val="single" w:sz="6" w:space="22" w:color="D7D7D7"/>
                    <w:bottom w:val="single" w:sz="6" w:space="30" w:color="D7D7D7"/>
                    <w:right w:val="single" w:sz="6" w:space="22" w:color="D7D7D7"/>
                  </w:divBdr>
                  <w:divsChild>
                    <w:div w:id="18677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85754">
      <w:bodyDiv w:val="1"/>
      <w:marLeft w:val="0"/>
      <w:marRight w:val="0"/>
      <w:marTop w:val="0"/>
      <w:marBottom w:val="0"/>
      <w:divBdr>
        <w:top w:val="none" w:sz="0" w:space="0" w:color="auto"/>
        <w:left w:val="none" w:sz="0" w:space="0" w:color="auto"/>
        <w:bottom w:val="none" w:sz="0" w:space="0" w:color="auto"/>
        <w:right w:val="none" w:sz="0" w:space="0" w:color="auto"/>
      </w:divBdr>
    </w:div>
    <w:div w:id="763696328">
      <w:bodyDiv w:val="1"/>
      <w:marLeft w:val="0"/>
      <w:marRight w:val="0"/>
      <w:marTop w:val="0"/>
      <w:marBottom w:val="0"/>
      <w:divBdr>
        <w:top w:val="none" w:sz="0" w:space="0" w:color="auto"/>
        <w:left w:val="none" w:sz="0" w:space="0" w:color="auto"/>
        <w:bottom w:val="none" w:sz="0" w:space="0" w:color="auto"/>
        <w:right w:val="none" w:sz="0" w:space="0" w:color="auto"/>
      </w:divBdr>
    </w:div>
    <w:div w:id="804197351">
      <w:bodyDiv w:val="1"/>
      <w:marLeft w:val="0"/>
      <w:marRight w:val="0"/>
      <w:marTop w:val="0"/>
      <w:marBottom w:val="0"/>
      <w:divBdr>
        <w:top w:val="none" w:sz="0" w:space="0" w:color="auto"/>
        <w:left w:val="none" w:sz="0" w:space="0" w:color="auto"/>
        <w:bottom w:val="none" w:sz="0" w:space="0" w:color="auto"/>
        <w:right w:val="none" w:sz="0" w:space="0" w:color="auto"/>
      </w:divBdr>
    </w:div>
    <w:div w:id="956910520">
      <w:bodyDiv w:val="1"/>
      <w:marLeft w:val="0"/>
      <w:marRight w:val="0"/>
      <w:marTop w:val="0"/>
      <w:marBottom w:val="0"/>
      <w:divBdr>
        <w:top w:val="none" w:sz="0" w:space="0" w:color="auto"/>
        <w:left w:val="none" w:sz="0" w:space="0" w:color="auto"/>
        <w:bottom w:val="none" w:sz="0" w:space="0" w:color="auto"/>
        <w:right w:val="none" w:sz="0" w:space="0" w:color="auto"/>
      </w:divBdr>
    </w:div>
    <w:div w:id="1733697048">
      <w:bodyDiv w:val="1"/>
      <w:marLeft w:val="0"/>
      <w:marRight w:val="0"/>
      <w:marTop w:val="0"/>
      <w:marBottom w:val="0"/>
      <w:divBdr>
        <w:top w:val="none" w:sz="0" w:space="0" w:color="auto"/>
        <w:left w:val="none" w:sz="0" w:space="0" w:color="auto"/>
        <w:bottom w:val="none" w:sz="0" w:space="0" w:color="auto"/>
        <w:right w:val="none" w:sz="0" w:space="0" w:color="auto"/>
      </w:divBdr>
    </w:div>
    <w:div w:id="1882403855">
      <w:bodyDiv w:val="1"/>
      <w:marLeft w:val="0"/>
      <w:marRight w:val="0"/>
      <w:marTop w:val="0"/>
      <w:marBottom w:val="0"/>
      <w:divBdr>
        <w:top w:val="none" w:sz="0" w:space="0" w:color="auto"/>
        <w:left w:val="none" w:sz="0" w:space="0" w:color="auto"/>
        <w:bottom w:val="none" w:sz="0" w:space="0" w:color="auto"/>
        <w:right w:val="none" w:sz="0" w:space="0" w:color="auto"/>
      </w:divBdr>
    </w:div>
    <w:div w:id="198469315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wmf"/><Relationship Id="rId26" Type="http://schemas.openxmlformats.org/officeDocument/2006/relationships/header" Target="header4.xml"/><Relationship Id="rId39" Type="http://schemas.openxmlformats.org/officeDocument/2006/relationships/image" Target="media/image5.png"/><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image" Target="media/image6.jpeg"/><Relationship Id="rId47" Type="http://schemas.openxmlformats.org/officeDocument/2006/relationships/oleObject" Target="embeddings/oleObject2.bin"/><Relationship Id="rId50" Type="http://schemas.openxmlformats.org/officeDocument/2006/relationships/oleObject" Target="embeddings/oleObject3.bin"/><Relationship Id="rId55" Type="http://schemas.openxmlformats.org/officeDocument/2006/relationships/hyperlink" Target="http://www.accc.gov.au/publications/door-to-door-do-not-knock-sticke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file:///C:\Users\mzf\AppData\Local\Microsoft\Windows\Temporary%20Internet%20Files\Content.Outlook\P9TWSAQ0\www.itsanhonour.gov.au" TargetMode="External"/><Relationship Id="rId29" Type="http://schemas.openxmlformats.org/officeDocument/2006/relationships/footer" Target="footer6.xml"/><Relationship Id="rId41" Type="http://schemas.openxmlformats.org/officeDocument/2006/relationships/hyperlink" Target="http://www.youtube.com" TargetMode="External"/><Relationship Id="rId54" Type="http://schemas.openxmlformats.org/officeDocument/2006/relationships/hyperlink" Target="http://www.stoptravellingconmen.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www.consumerlaw.gov.au" TargetMode="External"/><Relationship Id="rId37" Type="http://schemas.openxmlformats.org/officeDocument/2006/relationships/image" Target="media/image4.png"/><Relationship Id="rId40" Type="http://schemas.openxmlformats.org/officeDocument/2006/relationships/oleObject" Target="embeddings/oleObject1.bin"/><Relationship Id="rId45" Type="http://schemas.openxmlformats.org/officeDocument/2006/relationships/image" Target="media/image8.png"/><Relationship Id="rId53" Type="http://schemas.openxmlformats.org/officeDocument/2006/relationships/oleObject" Target="embeddings/oleObject4.bin"/><Relationship Id="rId58"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10.png"/><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footer" Target="footer7.xm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yperlink" Target="file:///C:\Users\mzf\AppData\Local\Microsoft\Windows\Temporary%20Internet%20Files\Content.Outlook\P9TWSAQ0\on" TargetMode="External"/><Relationship Id="rId48" Type="http://schemas.openxmlformats.org/officeDocument/2006/relationships/hyperlink" Target="http://www.facebook.com/StopTravellingConMen" TargetMode="External"/><Relationship Id="rId56" Type="http://schemas.openxmlformats.org/officeDocument/2006/relationships/image" Target="media/image12.png"/><Relationship Id="rId8" Type="http://schemas.microsoft.com/office/2007/relationships/stylesWithEffects" Target="stylesWithEffects.xml"/><Relationship Id="rId51" Type="http://schemas.openxmlformats.org/officeDocument/2006/relationships/hyperlink" Target="http://www.stoptravellingconmen.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header" Target="header10.xml"/><Relationship Id="rId46" Type="http://schemas.openxmlformats.org/officeDocument/2006/relationships/image" Target="media/image9.png"/><Relationship Id="rId5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mer%20La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neral Content" ma:contentTypeID="0x010100E726210826AA43828690450C811EB923009CA11FFD1E014DF4B1FA162D0F61129800DD7064B53DC8FE408A764BACFEAB018C" ma:contentTypeVersion="30" ma:contentTypeDescription="If you are creating a Word, PowerPoint or Excel document use the options available in the drop down list; for all other documents leave the content type as General Content." ma:contentTypeScope="" ma:versionID="4af40daa4177f2a20ebb75836870bb05">
  <xsd:schema xmlns:xsd="http://www.w3.org/2001/XMLSchema" xmlns:xs="http://www.w3.org/2001/XMLSchema" xmlns:p="http://schemas.microsoft.com/office/2006/metadata/properties" xmlns:ns2="378b04f6-f261-4499-b462-41ddd755ff66" targetNamespace="http://schemas.microsoft.com/office/2006/metadata/properties" ma:root="true" ma:fieldsID="88c27e78015a27781fe675d641395d38" ns2:_="">
    <xsd:import namespace="378b04f6-f261-4499-b462-41ddd755ff66"/>
    <xsd:element name="properties">
      <xsd:complexType>
        <xsd:sequence>
          <xsd:element name="documentManagement">
            <xsd:complexType>
              <xsd:all>
                <xsd:element ref="ns2:_dlc_DocId" minOccurs="0"/>
                <xsd:element ref="ns2:_dlc_DocIdPersist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b04f6-f261-4499-b462-41ddd755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 Audit Policy</p:Name>
  <p:Description/>
  <p:Statement/>
  <p:PolicyItems>
    <p:PolicyItem featureId="Microsoft.Office.RecordsManagement.PolicyFeatures.PolicyAudit" staticId="0x010100E726210826AA43828690450C811EB923|1757814118" UniqueId="48442e76-5f29-486d-b54e-d02aac7f2701">
      <p:Name>Auditing</p:Name>
      <p:Description>Audits user actions on documents and list items to the Audit Log.</p:Description>
      <p:CustomData>
        <Audit>
          <Update/>
          <CheckInOut/>
          <MoveCopy/>
          <DeleteRestore/>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F4487-13B4-49A4-809A-38A0A60B2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b04f6-f261-4499-b462-41ddd755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36EA8E-0A3C-4469-903E-E3E16FE9006D}">
  <ds:schemaRef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378b04f6-f261-4499-b462-41ddd755ff66"/>
    <ds:schemaRef ds:uri="http://schemas.microsoft.com/office/2006/metadata/properties"/>
  </ds:schemaRefs>
</ds:datastoreItem>
</file>

<file path=customXml/itemProps3.xml><?xml version="1.0" encoding="utf-8"?>
<ds:datastoreItem xmlns:ds="http://schemas.openxmlformats.org/officeDocument/2006/customXml" ds:itemID="{C6938412-9832-4B06-96AF-EF7A7308E24C}">
  <ds:schemaRefs>
    <ds:schemaRef ds:uri="http://schemas.microsoft.com/sharepoint/v3/contenttype/forms"/>
  </ds:schemaRefs>
</ds:datastoreItem>
</file>

<file path=customXml/itemProps4.xml><?xml version="1.0" encoding="utf-8"?>
<ds:datastoreItem xmlns:ds="http://schemas.openxmlformats.org/officeDocument/2006/customXml" ds:itemID="{37633BE0-9D94-41D1-8D03-4265A14DEF0F}">
  <ds:schemaRefs>
    <ds:schemaRef ds:uri="office.server.policy"/>
  </ds:schemaRefs>
</ds:datastoreItem>
</file>

<file path=customXml/itemProps5.xml><?xml version="1.0" encoding="utf-8"?>
<ds:datastoreItem xmlns:ds="http://schemas.openxmlformats.org/officeDocument/2006/customXml" ds:itemID="{F0328525-B06D-4122-8803-6763D1EB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8</TotalTime>
  <Pages>45</Pages>
  <Words>12380</Words>
  <Characters>75795</Characters>
  <Application>Microsoft Office Word</Application>
  <DocSecurity>0</DocSecurity>
  <Lines>631</Lines>
  <Paragraphs>175</Paragraphs>
  <ScaleCrop>false</ScaleCrop>
  <HeadingPairs>
    <vt:vector size="2" baseType="variant">
      <vt:variant>
        <vt:lpstr>Title</vt:lpstr>
      </vt:variant>
      <vt:variant>
        <vt:i4>1</vt:i4>
      </vt:variant>
    </vt:vector>
  </HeadingPairs>
  <TitlesOfParts>
    <vt:vector size="1" baseType="lpstr">
      <vt:lpstr>Implementation of the Australian Consumer Law - Report on progress III (2012-13)</vt:lpstr>
    </vt:vector>
  </TitlesOfParts>
  <Company>The Treasury</Company>
  <LinksUpToDate>false</LinksUpToDate>
  <CharactersWithSpaces>88000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of the Australian Consumer Law - Report on progress III (2012-13)</dc:title>
  <dc:creator>Treasury</dc:creator>
  <cp:lastModifiedBy>Hill, Christine</cp:lastModifiedBy>
  <cp:revision>5</cp:revision>
  <cp:lastPrinted>2013-10-31T03:22:00Z</cp:lastPrinted>
  <dcterms:created xsi:type="dcterms:W3CDTF">2013-11-06T02:12:00Z</dcterms:created>
  <dcterms:modified xsi:type="dcterms:W3CDTF">2013-11-07T05:50:00Z</dcterms:modified>
</cp:coreProperties>
</file>